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98BCEE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00770C89">
        <w:t>bis</w:t>
      </w:r>
      <w:r w:rsidRPr="00CE0424">
        <w:tab/>
      </w:r>
      <w:r w:rsidR="000A108E">
        <w:rPr>
          <w:sz w:val="32"/>
          <w:szCs w:val="32"/>
        </w:rPr>
        <w:t>R1-</w:t>
      </w:r>
      <w:bookmarkStart w:id="0" w:name="_GoBack"/>
      <w:bookmarkEnd w:id="0"/>
      <w:r w:rsidR="001851D6" w:rsidRPr="001851D6">
        <w:rPr>
          <w:sz w:val="32"/>
          <w:szCs w:val="32"/>
        </w:rPr>
        <w:t>1810191</w:t>
      </w:r>
    </w:p>
    <w:p w14:paraId="51C3D3E7" w14:textId="0F7C312D" w:rsidR="00E90E49" w:rsidRPr="00CE0424" w:rsidRDefault="00770C89" w:rsidP="00311702">
      <w:pPr>
        <w:pStyle w:val="3GPPHeader"/>
      </w:pPr>
      <w:r>
        <w:t>Chengdu</w:t>
      </w:r>
      <w:r w:rsidR="0027144F" w:rsidRPr="00CE0BF7">
        <w:t xml:space="preserve">, </w:t>
      </w:r>
      <w:r w:rsidRPr="00770C89">
        <w:t>People's Republic of China</w:t>
      </w:r>
      <w:r w:rsidR="0027144F" w:rsidRPr="00CE0BF7">
        <w:t xml:space="preserve">, </w:t>
      </w:r>
      <w:r>
        <w:t>October 8</w:t>
      </w:r>
      <w:r w:rsidR="00FE7FD8">
        <w:rPr>
          <w:vertAlign w:val="superscript"/>
        </w:rPr>
        <w:t>th</w:t>
      </w:r>
      <w:r w:rsidR="00CE0BF7" w:rsidRPr="00CE0BF7">
        <w:t xml:space="preserve"> – </w:t>
      </w:r>
      <w:r>
        <w:t>1</w:t>
      </w:r>
      <w:r w:rsidR="00CE0BF7" w:rsidRPr="00CE0BF7">
        <w:t>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0CCE4AE4" w:rsidR="00E90E49" w:rsidRPr="004D75CB" w:rsidRDefault="00E90E49" w:rsidP="00311702">
      <w:pPr>
        <w:pStyle w:val="3GPPHeader"/>
        <w:rPr>
          <w:sz w:val="22"/>
          <w:szCs w:val="22"/>
          <w:lang w:val="en-US"/>
        </w:rPr>
      </w:pPr>
      <w:r w:rsidRPr="004D75CB">
        <w:rPr>
          <w:sz w:val="22"/>
          <w:szCs w:val="22"/>
          <w:lang w:val="en-US"/>
        </w:rPr>
        <w:t>Agenda Item:</w:t>
      </w:r>
      <w:r w:rsidRPr="004D75CB">
        <w:rPr>
          <w:sz w:val="22"/>
          <w:szCs w:val="22"/>
          <w:lang w:val="en-US"/>
        </w:rPr>
        <w:tab/>
      </w:r>
      <w:r w:rsidR="009F5331">
        <w:rPr>
          <w:sz w:val="22"/>
          <w:szCs w:val="22"/>
          <w:lang w:val="en-US"/>
        </w:rPr>
        <w:t>6.2.1.7</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17E8AC9" w:rsidR="00E90E49" w:rsidRPr="00CE0424" w:rsidRDefault="003D3C45" w:rsidP="00311702">
      <w:pPr>
        <w:pStyle w:val="3GPPHeader"/>
        <w:rPr>
          <w:sz w:val="22"/>
          <w:szCs w:val="22"/>
        </w:rPr>
      </w:pPr>
      <w:r>
        <w:rPr>
          <w:sz w:val="22"/>
          <w:szCs w:val="22"/>
        </w:rPr>
        <w:t>Title:</w:t>
      </w:r>
      <w:r w:rsidR="00E90E49" w:rsidRPr="00CE0424">
        <w:rPr>
          <w:sz w:val="22"/>
          <w:szCs w:val="22"/>
        </w:rPr>
        <w:tab/>
      </w:r>
      <w:r w:rsidR="009F5331" w:rsidRPr="009F5331">
        <w:rPr>
          <w:sz w:val="22"/>
          <w:szCs w:val="22"/>
        </w:rPr>
        <w:t>CE mode A and B improvements for LTE-MTC non-BL UEs</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DA78EA8" w14:textId="7EADC81E" w:rsidR="009F5331" w:rsidRDefault="0036333D" w:rsidP="009F5331">
      <w:pPr>
        <w:pStyle w:val="BodyText"/>
      </w:pPr>
      <w:r>
        <w:t xml:space="preserve">In the </w:t>
      </w:r>
      <w:r w:rsidR="008D47D4" w:rsidRPr="008D47D4">
        <w:t>Work Item (WI) on “</w:t>
      </w:r>
      <w:r>
        <w:t>Additional</w:t>
      </w:r>
      <w:r w:rsidR="008D47D4" w:rsidRPr="008D47D4">
        <w:t xml:space="preserve"> MTC enhancements</w:t>
      </w:r>
      <w:r>
        <w:t xml:space="preserve"> for LTE</w:t>
      </w:r>
      <w:r w:rsidR="008D47D4" w:rsidRPr="008D47D4">
        <w:t>”</w:t>
      </w:r>
      <w:r w:rsidR="00DC47B3">
        <w:t xml:space="preserve"> [1</w:t>
      </w:r>
      <w:r w:rsidR="008D47D4">
        <w:t>]</w:t>
      </w:r>
      <w:r w:rsidR="00DC47B3">
        <w:t>,</w:t>
      </w:r>
      <w:r w:rsidR="009F5331">
        <w:t xml:space="preserve"> one </w:t>
      </w:r>
      <w:r>
        <w:t xml:space="preserve">of the </w:t>
      </w:r>
      <w:r w:rsidR="009F5331">
        <w:t>objective</w:t>
      </w:r>
      <w:r>
        <w:t>s</w:t>
      </w:r>
      <w:r w:rsidR="009F5331">
        <w:t xml:space="preserve"> is to specify </w:t>
      </w:r>
      <w:r w:rsidR="009F5331" w:rsidRPr="00BC3E9F">
        <w:t>CE mode A and B i</w:t>
      </w:r>
      <w:r w:rsidR="009F5331">
        <w:t xml:space="preserve">mprovements for non-BL UEs from among the techniques </w:t>
      </w:r>
      <w:r w:rsidR="009F5331" w:rsidRPr="00BC3E9F">
        <w:t>list</w:t>
      </w:r>
      <w:r w:rsidR="009F5331">
        <w:t>ed below:</w:t>
      </w:r>
    </w:p>
    <w:p w14:paraId="40187FB9" w14:textId="77777777" w:rsidR="009F5331" w:rsidRDefault="009F5331" w:rsidP="009F5331">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9F5331" w14:paraId="073F7C52" w14:textId="77777777" w:rsidTr="00874CF5">
        <w:tc>
          <w:tcPr>
            <w:tcW w:w="9629" w:type="dxa"/>
            <w:tcBorders>
              <w:top w:val="double" w:sz="4" w:space="0" w:color="auto"/>
              <w:left w:val="single" w:sz="4" w:space="0" w:color="auto"/>
              <w:bottom w:val="single" w:sz="4" w:space="0" w:color="auto"/>
              <w:right w:val="single" w:sz="4" w:space="0" w:color="auto"/>
            </w:tcBorders>
            <w:hideMark/>
          </w:tcPr>
          <w:p w14:paraId="06E8BAFF" w14:textId="77777777" w:rsidR="009F5331" w:rsidRPr="009F5331" w:rsidRDefault="009F5331" w:rsidP="00874CF5">
            <w:pPr>
              <w:spacing w:after="0"/>
              <w:rPr>
                <w:b/>
                <w:bCs/>
                <w:sz w:val="20"/>
                <w:lang w:eastAsia="en-US"/>
              </w:rPr>
            </w:pPr>
            <w:r w:rsidRPr="009F5331">
              <w:rPr>
                <w:b/>
                <w:bCs/>
                <w:sz w:val="20"/>
              </w:rPr>
              <w:t>Extreme coverage for non-BL UEs:</w:t>
            </w:r>
          </w:p>
          <w:p w14:paraId="295A737F" w14:textId="77777777" w:rsidR="009F5331" w:rsidRPr="009F5331" w:rsidRDefault="009F5331" w:rsidP="009F5331">
            <w:pPr>
              <w:numPr>
                <w:ilvl w:val="0"/>
                <w:numId w:val="25"/>
              </w:numPr>
              <w:spacing w:after="0"/>
              <w:textAlignment w:val="auto"/>
              <w:rPr>
                <w:bCs/>
                <w:sz w:val="20"/>
              </w:rPr>
            </w:pPr>
            <w:r w:rsidRPr="009F5331">
              <w:rPr>
                <w:bCs/>
                <w:sz w:val="20"/>
              </w:rPr>
              <w:t>Specify CE mode A and B improvements for non-BL UEs from among the following list [RAN1, RAN2, RAN4]</w:t>
            </w:r>
          </w:p>
          <w:p w14:paraId="0E0DA515" w14:textId="77777777" w:rsidR="009F5331" w:rsidRPr="009F5331" w:rsidRDefault="009F5331" w:rsidP="009F5331">
            <w:pPr>
              <w:numPr>
                <w:ilvl w:val="1"/>
                <w:numId w:val="25"/>
              </w:numPr>
              <w:spacing w:after="0"/>
              <w:textAlignment w:val="auto"/>
              <w:rPr>
                <w:bCs/>
                <w:sz w:val="20"/>
              </w:rPr>
            </w:pPr>
            <w:bookmarkStart w:id="1" w:name="_Hlk521496697"/>
            <w:r w:rsidRPr="009F5331">
              <w:rPr>
                <w:bCs/>
                <w:sz w:val="20"/>
              </w:rPr>
              <w:t>Enhancements to idle mode mobility</w:t>
            </w:r>
          </w:p>
          <w:p w14:paraId="3C82D738" w14:textId="77777777" w:rsidR="009F5331" w:rsidRPr="009F5331" w:rsidRDefault="009F5331" w:rsidP="009F5331">
            <w:pPr>
              <w:numPr>
                <w:ilvl w:val="1"/>
                <w:numId w:val="25"/>
              </w:numPr>
              <w:spacing w:after="0"/>
              <w:textAlignment w:val="auto"/>
              <w:rPr>
                <w:bCs/>
                <w:sz w:val="20"/>
              </w:rPr>
            </w:pPr>
            <w:r w:rsidRPr="009F5331">
              <w:rPr>
                <w:bCs/>
                <w:sz w:val="20"/>
              </w:rPr>
              <w:t>UE demodulation performance requirements for 2 RX antennas and full duplex FDD</w:t>
            </w:r>
          </w:p>
          <w:p w14:paraId="028748DA" w14:textId="77777777" w:rsidR="009F5331" w:rsidRPr="009F5331" w:rsidRDefault="009F5331" w:rsidP="009F5331">
            <w:pPr>
              <w:numPr>
                <w:ilvl w:val="1"/>
                <w:numId w:val="25"/>
              </w:numPr>
              <w:spacing w:after="0"/>
              <w:textAlignment w:val="auto"/>
              <w:rPr>
                <w:bCs/>
                <w:sz w:val="20"/>
              </w:rPr>
            </w:pPr>
            <w:r w:rsidRPr="009F5331">
              <w:rPr>
                <w:bCs/>
                <w:sz w:val="20"/>
              </w:rPr>
              <w:t>Dual layer DL reception</w:t>
            </w:r>
          </w:p>
          <w:p w14:paraId="1B028DF1" w14:textId="77777777" w:rsidR="009F5331" w:rsidRPr="009F5331" w:rsidRDefault="009F5331" w:rsidP="009F5331">
            <w:pPr>
              <w:numPr>
                <w:ilvl w:val="1"/>
                <w:numId w:val="25"/>
              </w:numPr>
              <w:spacing w:after="0"/>
              <w:textAlignment w:val="auto"/>
              <w:rPr>
                <w:bCs/>
                <w:sz w:val="20"/>
              </w:rPr>
            </w:pPr>
            <w:r w:rsidRPr="009F5331">
              <w:rPr>
                <w:bCs/>
                <w:sz w:val="20"/>
              </w:rPr>
              <w:t>Feedback based on CSI-RS</w:t>
            </w:r>
          </w:p>
          <w:p w14:paraId="4C0C199D" w14:textId="77777777" w:rsidR="009F5331" w:rsidRPr="00BC3E9F" w:rsidRDefault="009F5331" w:rsidP="009F5331">
            <w:pPr>
              <w:numPr>
                <w:ilvl w:val="1"/>
                <w:numId w:val="25"/>
              </w:numPr>
              <w:spacing w:after="0"/>
              <w:textAlignment w:val="auto"/>
              <w:rPr>
                <w:bCs/>
              </w:rPr>
            </w:pPr>
            <w:r w:rsidRPr="009F5331">
              <w:rPr>
                <w:bCs/>
                <w:sz w:val="20"/>
              </w:rPr>
              <w:t>ETWS/CMAS in connected mode</w:t>
            </w:r>
            <w:bookmarkEnd w:id="1"/>
          </w:p>
        </w:tc>
      </w:tr>
    </w:tbl>
    <w:p w14:paraId="299118ED" w14:textId="77777777" w:rsidR="009F5331" w:rsidRDefault="009F5331" w:rsidP="009F5331">
      <w:pPr>
        <w:pStyle w:val="BodyText"/>
      </w:pPr>
    </w:p>
    <w:p w14:paraId="1236E06F" w14:textId="4E3D5DF7" w:rsidR="00770C89" w:rsidRDefault="00770C89" w:rsidP="00770C89">
      <w:pPr>
        <w:pStyle w:val="BodyText"/>
      </w:pPr>
      <w:r>
        <w:t>In RAN1 #94, the following agreements were reached.</w:t>
      </w:r>
      <w:r w:rsidRPr="00770C89">
        <w:t xml:space="preserve"> </w:t>
      </w:r>
    </w:p>
    <w:p w14:paraId="234A9929" w14:textId="77777777" w:rsidR="00770C89" w:rsidRDefault="00770C89" w:rsidP="00770C89">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7ACD8333"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24CFB963" w14:textId="77777777" w:rsidR="009F5331" w:rsidRPr="009F5331" w:rsidRDefault="009F5331" w:rsidP="009F5331">
            <w:pPr>
              <w:rPr>
                <w:b/>
                <w:sz w:val="20"/>
                <w:highlight w:val="green"/>
                <w:lang w:val="en-US" w:eastAsia="x-none"/>
              </w:rPr>
            </w:pPr>
            <w:r w:rsidRPr="009F5331">
              <w:rPr>
                <w:b/>
                <w:sz w:val="20"/>
                <w:highlight w:val="green"/>
                <w:lang w:val="en-US" w:eastAsia="x-none"/>
              </w:rPr>
              <w:t>Agreement</w:t>
            </w:r>
          </w:p>
          <w:p w14:paraId="5007C974" w14:textId="77777777" w:rsidR="009F5331" w:rsidRPr="009F5331" w:rsidRDefault="009F5331" w:rsidP="009F5331">
            <w:pPr>
              <w:rPr>
                <w:sz w:val="20"/>
                <w:lang w:val="en-US" w:eastAsia="x-none"/>
              </w:rPr>
            </w:pPr>
            <w:r w:rsidRPr="009F5331">
              <w:rPr>
                <w:sz w:val="20"/>
                <w:lang w:val="en-US" w:eastAsia="x-none"/>
              </w:rPr>
              <w:t xml:space="preserve">Study on the performance benefit of dual layer DL reception when it is supported for non-BL UEs in CE mode A. Companies are encouraged to submit evaluation results. </w:t>
            </w:r>
          </w:p>
          <w:p w14:paraId="55C853B6" w14:textId="77777777" w:rsidR="009F5331" w:rsidRPr="009F5331" w:rsidRDefault="009F5331" w:rsidP="009F5331">
            <w:pPr>
              <w:numPr>
                <w:ilvl w:val="0"/>
                <w:numId w:val="26"/>
              </w:numPr>
              <w:overflowPunct/>
              <w:autoSpaceDE/>
              <w:autoSpaceDN/>
              <w:adjustRightInd/>
              <w:spacing w:after="0"/>
              <w:textAlignment w:val="auto"/>
              <w:rPr>
                <w:sz w:val="20"/>
                <w:lang w:val="en-US" w:eastAsia="x-none"/>
              </w:rPr>
            </w:pPr>
            <w:r w:rsidRPr="009F5331">
              <w:rPr>
                <w:sz w:val="20"/>
                <w:lang w:val="en-US" w:eastAsia="x-none"/>
              </w:rPr>
              <w:t>UE complexity should be also considered</w:t>
            </w:r>
          </w:p>
          <w:p w14:paraId="01404E87" w14:textId="77777777" w:rsidR="009F5331" w:rsidRPr="009F5331" w:rsidRDefault="009F5331" w:rsidP="009F5331">
            <w:pPr>
              <w:numPr>
                <w:ilvl w:val="0"/>
                <w:numId w:val="26"/>
              </w:numPr>
              <w:overflowPunct/>
              <w:autoSpaceDE/>
              <w:autoSpaceDN/>
              <w:adjustRightInd/>
              <w:spacing w:after="0"/>
              <w:textAlignment w:val="auto"/>
              <w:rPr>
                <w:sz w:val="20"/>
                <w:lang w:val="en-US" w:eastAsia="x-none"/>
              </w:rPr>
            </w:pPr>
            <w:r w:rsidRPr="009F5331">
              <w:rPr>
                <w:sz w:val="20"/>
                <w:lang w:val="en-US" w:eastAsia="x-none"/>
              </w:rPr>
              <w:t>Prioritize SNR region relevant to CE mode A</w:t>
            </w:r>
          </w:p>
          <w:p w14:paraId="1B11499E" w14:textId="77777777" w:rsidR="009F5331" w:rsidRPr="009F5331" w:rsidRDefault="009F5331" w:rsidP="009F5331">
            <w:pPr>
              <w:rPr>
                <w:sz w:val="20"/>
                <w:lang w:eastAsia="x-none"/>
              </w:rPr>
            </w:pPr>
          </w:p>
          <w:p w14:paraId="0141EB33" w14:textId="77777777" w:rsidR="009F5331" w:rsidRPr="009F5331" w:rsidRDefault="009F5331" w:rsidP="009F5331">
            <w:pPr>
              <w:rPr>
                <w:b/>
                <w:sz w:val="20"/>
                <w:szCs w:val="28"/>
                <w:highlight w:val="green"/>
              </w:rPr>
            </w:pPr>
            <w:r w:rsidRPr="009F5331">
              <w:rPr>
                <w:b/>
                <w:sz w:val="20"/>
                <w:szCs w:val="28"/>
                <w:highlight w:val="green"/>
              </w:rPr>
              <w:t xml:space="preserve">Agreement </w:t>
            </w:r>
          </w:p>
          <w:p w14:paraId="58E8B65D" w14:textId="77777777" w:rsidR="009F5331" w:rsidRPr="009F5331" w:rsidRDefault="009F5331" w:rsidP="009F5331">
            <w:pPr>
              <w:rPr>
                <w:sz w:val="20"/>
                <w:szCs w:val="28"/>
              </w:rPr>
            </w:pPr>
            <w:r w:rsidRPr="009F5331">
              <w:rPr>
                <w:sz w:val="20"/>
                <w:szCs w:val="28"/>
              </w:rPr>
              <w:t>Study on the performance benefit of CSI-RS based CSI feedback when it is supported for non-BL UEs in CE mode A.</w:t>
            </w:r>
          </w:p>
          <w:p w14:paraId="72A90422" w14:textId="77777777" w:rsidR="009F5331" w:rsidRPr="009F5331" w:rsidRDefault="009F5331" w:rsidP="009F5331">
            <w:pPr>
              <w:numPr>
                <w:ilvl w:val="0"/>
                <w:numId w:val="26"/>
              </w:numPr>
              <w:overflowPunct/>
              <w:autoSpaceDE/>
              <w:autoSpaceDN/>
              <w:adjustRightInd/>
              <w:spacing w:after="0"/>
              <w:textAlignment w:val="auto"/>
              <w:rPr>
                <w:sz w:val="20"/>
                <w:szCs w:val="28"/>
                <w:lang w:val="en-US" w:eastAsia="x-none"/>
              </w:rPr>
            </w:pPr>
            <w:r w:rsidRPr="009F5331">
              <w:rPr>
                <w:sz w:val="20"/>
                <w:szCs w:val="28"/>
                <w:lang w:val="en-US" w:eastAsia="x-none"/>
              </w:rPr>
              <w:t>UE complexity should be also considered</w:t>
            </w:r>
          </w:p>
          <w:p w14:paraId="59108117" w14:textId="77777777" w:rsidR="009F5331" w:rsidRPr="009F5331" w:rsidRDefault="009F5331" w:rsidP="009F5331">
            <w:pPr>
              <w:numPr>
                <w:ilvl w:val="0"/>
                <w:numId w:val="26"/>
              </w:numPr>
              <w:overflowPunct/>
              <w:autoSpaceDE/>
              <w:autoSpaceDN/>
              <w:adjustRightInd/>
              <w:spacing w:after="0"/>
              <w:textAlignment w:val="auto"/>
              <w:rPr>
                <w:sz w:val="20"/>
                <w:szCs w:val="28"/>
                <w:lang w:val="en-US" w:eastAsia="x-none"/>
              </w:rPr>
            </w:pPr>
            <w:r w:rsidRPr="009F5331">
              <w:rPr>
                <w:sz w:val="20"/>
                <w:szCs w:val="28"/>
                <w:lang w:val="en-US" w:eastAsia="x-none"/>
              </w:rPr>
              <w:t>Prioritize SNR region relevant to CE mode A</w:t>
            </w:r>
          </w:p>
          <w:p w14:paraId="2C92121C" w14:textId="360A3993" w:rsidR="00770C89" w:rsidRPr="009F5331" w:rsidRDefault="00770C89" w:rsidP="009F5331">
            <w:pPr>
              <w:pStyle w:val="ListParagraph"/>
              <w:ind w:left="0"/>
              <w:rPr>
                <w:bCs/>
                <w:lang w:val="en-US"/>
              </w:rPr>
            </w:pPr>
          </w:p>
        </w:tc>
      </w:tr>
    </w:tbl>
    <w:p w14:paraId="0A71F32F" w14:textId="660CBEA2" w:rsidR="00770C89" w:rsidRDefault="00770C89" w:rsidP="00CE0424">
      <w:pPr>
        <w:pStyle w:val="BodyText"/>
      </w:pPr>
    </w:p>
    <w:p w14:paraId="7C48702B" w14:textId="7AC2E307" w:rsidR="00477768" w:rsidRPr="00CE0424" w:rsidRDefault="00770C89" w:rsidP="00CE0424">
      <w:pPr>
        <w:pStyle w:val="BodyText"/>
      </w:pPr>
      <w:r>
        <w:t xml:space="preserve">This contribution is intended to </w:t>
      </w:r>
      <w:r w:rsidR="0061007D">
        <w:t>a</w:t>
      </w:r>
      <w:r w:rsidR="0061007D" w:rsidRPr="0061007D">
        <w:t>ssess</w:t>
      </w:r>
      <w:r w:rsidR="00834CE8">
        <w:t>,</w:t>
      </w:r>
      <w:r w:rsidR="0061007D" w:rsidRPr="0061007D">
        <w:t xml:space="preserve"> </w:t>
      </w:r>
      <w:r w:rsidR="00834CE8">
        <w:t xml:space="preserve">respectively, </w:t>
      </w:r>
      <w:r w:rsidR="0061007D" w:rsidRPr="0061007D">
        <w:t xml:space="preserve">the </w:t>
      </w:r>
      <w:r w:rsidR="009F5331">
        <w:t xml:space="preserve">potential benefits of supporting </w:t>
      </w:r>
      <w:r w:rsidR="00834CE8">
        <w:t xml:space="preserve">“Dual layer DL reception” and “Feedback based on CSI-RS” </w:t>
      </w:r>
      <w:r w:rsidR="009F5331">
        <w:rPr>
          <w:rFonts w:cs="Arial"/>
        </w:rPr>
        <w:t>for non-BL UEs using enhanced coverage functionality.</w:t>
      </w:r>
    </w:p>
    <w:p w14:paraId="6EF41082" w14:textId="2E3C7DFB" w:rsidR="00834CE8" w:rsidRDefault="00230D18" w:rsidP="00834CE8">
      <w:pPr>
        <w:pStyle w:val="Heading1"/>
      </w:pPr>
      <w:bookmarkStart w:id="2" w:name="_Ref178064866"/>
      <w:r>
        <w:lastRenderedPageBreak/>
        <w:t>2</w:t>
      </w:r>
      <w:r>
        <w:tab/>
      </w:r>
      <w:bookmarkEnd w:id="2"/>
      <w:r w:rsidR="00834CE8">
        <w:t>L1 related en</w:t>
      </w:r>
      <w:r w:rsidR="007114A2">
        <w:t>hancements</w:t>
      </w:r>
      <w:r w:rsidR="00834CE8" w:rsidRPr="00834CE8">
        <w:t xml:space="preserve"> for non-BL UEs using enhanced coverage functionality</w:t>
      </w:r>
    </w:p>
    <w:p w14:paraId="75052EAD" w14:textId="6FA2E405" w:rsidR="00834CE8" w:rsidRPr="00834CE8" w:rsidRDefault="00874CF5" w:rsidP="00834CE8">
      <w:pPr>
        <w:pStyle w:val="Heading2"/>
      </w:pPr>
      <w:r>
        <w:t>2.1</w:t>
      </w:r>
      <w:r>
        <w:tab/>
        <w:t>Dual-</w:t>
      </w:r>
      <w:r w:rsidR="00834CE8">
        <w:t>layer DL reception</w:t>
      </w:r>
    </w:p>
    <w:p w14:paraId="783AF848" w14:textId="2C80ECA3" w:rsidR="00834CE8" w:rsidRPr="007114A2" w:rsidRDefault="00834CE8" w:rsidP="0096182A">
      <w:pPr>
        <w:pStyle w:val="BodyText"/>
        <w:rPr>
          <w:rFonts w:cs="Arial"/>
        </w:rPr>
      </w:pPr>
      <w:r>
        <w:t xml:space="preserve">In a dual-layer transmission scheme, two data streams are transmitted over Nt ≥ 2 antennas, while the receiver detects the transmitted streams using Nr ≥ 2 receive antennas. </w:t>
      </w:r>
    </w:p>
    <w:p w14:paraId="7BE2D0FB" w14:textId="5B5C9A03" w:rsidR="00A45DD8" w:rsidRDefault="007114A2" w:rsidP="0096182A">
      <w:pPr>
        <w:pStyle w:val="BodyText"/>
      </w:pPr>
      <w:r>
        <w:t xml:space="preserve">The </w:t>
      </w:r>
      <w:r w:rsidR="00834CE8">
        <w:t>applicability of “Dual layer DL recep</w:t>
      </w:r>
      <w:r w:rsidR="008B16B7">
        <w:t>tion” as a way of increasing the data rate</w:t>
      </w:r>
      <w:r w:rsidR="00834CE8">
        <w:t xml:space="preserve"> for non-BL UEs </w:t>
      </w:r>
      <w:r>
        <w:t xml:space="preserve">using enhanced coverage functionality </w:t>
      </w:r>
      <w:r w:rsidR="00834CE8">
        <w:t>need</w:t>
      </w:r>
      <w:r>
        <w:t>s</w:t>
      </w:r>
      <w:r w:rsidR="00834CE8">
        <w:t xml:space="preserve"> to consider </w:t>
      </w:r>
      <w:r w:rsidR="00F506AD">
        <w:t>its behaviour in high and low</w:t>
      </w:r>
      <w:r w:rsidR="0096182A">
        <w:t xml:space="preserve"> SNR</w:t>
      </w:r>
      <w:r w:rsidR="00834CE8">
        <w:t>.</w:t>
      </w:r>
      <w:r w:rsidR="0096182A">
        <w:t xml:space="preserve"> Therefore,</w:t>
      </w:r>
      <w:r w:rsidR="00F506AD">
        <w:t xml:space="preserve"> </w:t>
      </w:r>
      <w:r w:rsidR="0096182A">
        <w:t xml:space="preserve">in </w:t>
      </w:r>
      <w:r w:rsidR="00F506AD">
        <w:t xml:space="preserve">the sub-sections below, we provide an analysis of “Dual layer DL reception” for both high and low SNR, using as a reference the </w:t>
      </w:r>
      <w:r w:rsidR="0096182A">
        <w:t xml:space="preserve">following well-known </w:t>
      </w:r>
      <w:r w:rsidR="00F506AD">
        <w:t>channel capacity formula</w:t>
      </w:r>
      <w:r w:rsidR="0096182A">
        <w:t xml:space="preserve"> [</w:t>
      </w:r>
      <w:r w:rsidR="00D97816">
        <w:t>2-4</w:t>
      </w:r>
      <w:r w:rsidR="0096182A">
        <w:t>]</w:t>
      </w:r>
      <w:r w:rsidR="00F506AD">
        <w:t>:</w:t>
      </w:r>
    </w:p>
    <w:p w14:paraId="1639E4D8" w14:textId="08A1635E" w:rsidR="00F506AD" w:rsidRDefault="00F506AD" w:rsidP="00834CE8">
      <w:pPr>
        <w:pStyle w:val="BodyText"/>
      </w:pPr>
      <m:oMathPara>
        <m:oMath>
          <m:r>
            <w:rPr>
              <w:rFonts w:ascii="Cambria Math" w:hAnsi="Cambria Math"/>
            </w:rPr>
            <m:t>C=W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sSub>
                        <m:sSubPr>
                          <m:ctrlPr>
                            <w:rPr>
                              <w:rFonts w:ascii="Cambria Math" w:hAnsi="Cambria Math"/>
                              <w:i/>
                            </w:rPr>
                          </m:ctrlPr>
                        </m:sSubPr>
                        <m:e>
                          <m:r>
                            <w:rPr>
                              <w:rFonts w:ascii="Cambria Math" w:hAnsi="Cambria Math"/>
                            </w:rPr>
                            <m:t>P</m:t>
                          </m:r>
                        </m:e>
                        <m:sub>
                          <m:r>
                            <w:rPr>
                              <w:rFonts w:ascii="Cambria Math" w:hAnsi="Cambria Math"/>
                            </w:rPr>
                            <m:t>i</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e>
          </m:nary>
        </m:oMath>
      </m:oMathPara>
    </w:p>
    <w:p w14:paraId="463457F0" w14:textId="494D77FB" w:rsidR="00F506AD" w:rsidRDefault="00F506AD" w:rsidP="00834CE8">
      <w:pPr>
        <w:pStyle w:val="BodyText"/>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is the transmit power at the </w:t>
      </w:r>
      <w:r w:rsidRPr="0096182A">
        <w:rPr>
          <w:i/>
        </w:rPr>
        <w:t>i</w:t>
      </w:r>
      <w:r w:rsidR="0096182A" w:rsidRPr="0096182A">
        <w:rPr>
          <w:i/>
        </w:rPr>
        <w:t>-</w:t>
      </w:r>
      <w:r w:rsidRPr="0096182A">
        <w:rPr>
          <w:i/>
        </w:rPr>
        <w:t>th</w:t>
      </w:r>
      <w:r>
        <w:t xml:space="preserve"> transmit antenna, </w:t>
      </w:r>
      <m:oMath>
        <m:sSub>
          <m:sSubPr>
            <m:ctrlPr>
              <w:rPr>
                <w:rFonts w:ascii="Cambria Math" w:hAnsi="Cambria Math"/>
                <w:i/>
              </w:rPr>
            </m:ctrlPr>
          </m:sSubPr>
          <m:e>
            <m:r>
              <w:rPr>
                <w:rFonts w:ascii="Cambria Math" w:hAnsi="Cambria Math"/>
              </w:rPr>
              <m:t>λ</m:t>
            </m:r>
          </m:e>
          <m:sub>
            <m:r>
              <w:rPr>
                <w:rFonts w:ascii="Cambria Math" w:hAnsi="Cambria Math"/>
              </w:rPr>
              <m:t>i</m:t>
            </m:r>
          </m:sub>
        </m:sSub>
      </m:oMath>
      <w:r w:rsidR="0096182A">
        <w:t xml:space="preserve"> is </w:t>
      </w:r>
      <w:r w:rsidR="0096182A" w:rsidRPr="0096182A">
        <w:rPr>
          <w:i/>
        </w:rPr>
        <w:t>i-th</w:t>
      </w:r>
      <w:r w:rsidR="0096182A">
        <w:t xml:space="preserve"> eigenvalue,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0096182A">
        <w:t xml:space="preserve"> is the noise power, </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H</m:t>
            </m:r>
          </m:sub>
        </m:sSub>
      </m:oMath>
      <w:r w:rsidR="0096182A">
        <w:t xml:space="preserve"> the rank of the MIMO channel matrix, and </w:t>
      </w:r>
      <m:oMath>
        <m:r>
          <w:rPr>
            <w:rFonts w:ascii="Cambria Math" w:hAnsi="Cambria Math"/>
          </w:rPr>
          <m:t>W</m:t>
        </m:r>
      </m:oMath>
      <w:r w:rsidR="0096182A">
        <w:t xml:space="preserve"> the bandwidth.</w:t>
      </w:r>
    </w:p>
    <w:p w14:paraId="3C00B34C" w14:textId="76928AE3" w:rsidR="0096182A" w:rsidRDefault="0096182A" w:rsidP="00834CE8">
      <w:pPr>
        <w:pStyle w:val="BodyText"/>
      </w:pPr>
      <w:r>
        <w:t xml:space="preserve">The component </w:t>
      </w:r>
      <m:oMath>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1+SNR</m:t>
            </m:r>
          </m:e>
        </m:d>
      </m:oMath>
      <w:r>
        <w:t xml:space="preserve"> from the equation </w:t>
      </w:r>
      <w:r w:rsidR="00137A28">
        <w:t xml:space="preserve">above </w:t>
      </w:r>
      <w:r>
        <w:t>is a concave function</w:t>
      </w:r>
      <w:r w:rsidR="00137A28">
        <w:t>, which results in the following approximations for high and low SNR regions:</w:t>
      </w:r>
    </w:p>
    <w:p w14:paraId="6EE72EFB" w14:textId="77777777" w:rsidR="001F6247" w:rsidRDefault="001F6247" w:rsidP="00834CE8">
      <w:pPr>
        <w:pStyle w:val="BodyText"/>
      </w:pPr>
    </w:p>
    <w:tbl>
      <w:tblPr>
        <w:tblStyle w:val="TableGrid"/>
        <w:tblW w:w="0" w:type="auto"/>
        <w:jc w:val="center"/>
        <w:tblLook w:val="04A0" w:firstRow="1" w:lastRow="0" w:firstColumn="1" w:lastColumn="0" w:noHBand="0" w:noVBand="1"/>
      </w:tblPr>
      <w:tblGrid>
        <w:gridCol w:w="4106"/>
        <w:gridCol w:w="4253"/>
      </w:tblGrid>
      <w:tr w:rsidR="001F6247" w14:paraId="546BDD10" w14:textId="77777777" w:rsidTr="001F6247">
        <w:trPr>
          <w:jc w:val="center"/>
        </w:trPr>
        <w:tc>
          <w:tcPr>
            <w:tcW w:w="4106" w:type="dxa"/>
            <w:shd w:val="clear" w:color="auto" w:fill="D9D9D9" w:themeFill="background1" w:themeFillShade="D9"/>
          </w:tcPr>
          <w:p w14:paraId="4C7DD7E7" w14:textId="17D45862" w:rsidR="001F6247" w:rsidRDefault="001F6247" w:rsidP="001F6247">
            <w:pPr>
              <w:pStyle w:val="BodyText"/>
              <w:ind w:left="720"/>
              <w:jc w:val="center"/>
            </w:pPr>
            <w:r>
              <w:t>When SNR &gt;&gt;1</w:t>
            </w:r>
          </w:p>
        </w:tc>
        <w:tc>
          <w:tcPr>
            <w:tcW w:w="4253" w:type="dxa"/>
            <w:shd w:val="clear" w:color="auto" w:fill="D9D9D9" w:themeFill="background1" w:themeFillShade="D9"/>
          </w:tcPr>
          <w:p w14:paraId="12D0A4AB" w14:textId="2596F14A" w:rsidR="001F6247" w:rsidRDefault="001F6247" w:rsidP="001F6247">
            <w:pPr>
              <w:pStyle w:val="BodyText"/>
              <w:ind w:left="720"/>
              <w:jc w:val="center"/>
            </w:pPr>
            <w:r>
              <w:t xml:space="preserve">When SNR </w:t>
            </w:r>
            <w:r>
              <w:rPr>
                <w:rFonts w:cs="Arial"/>
              </w:rPr>
              <w:t xml:space="preserve">≈ </w:t>
            </w:r>
            <w:r>
              <w:t>0</w:t>
            </w:r>
          </w:p>
        </w:tc>
      </w:tr>
      <w:tr w:rsidR="001F6247" w14:paraId="3898621C" w14:textId="77777777" w:rsidTr="001F6247">
        <w:trPr>
          <w:jc w:val="center"/>
        </w:trPr>
        <w:tc>
          <w:tcPr>
            <w:tcW w:w="4106" w:type="dxa"/>
          </w:tcPr>
          <w:p w14:paraId="490C89DA" w14:textId="1200D1D2" w:rsidR="001F6247" w:rsidRDefault="001F6247" w:rsidP="001F6247">
            <w:pPr>
              <w:pStyle w:val="BodyText"/>
              <w:ind w:left="720"/>
              <w:jc w:val="center"/>
            </w:pPr>
            <m:oMathPara>
              <m:oMath>
                <m:r>
                  <w:rPr>
                    <w:rFonts w:ascii="Cambria Math" w:hAnsi="Cambria Math"/>
                  </w:rPr>
                  <m:t>l</m:t>
                </m:r>
                <m:sSub>
                  <m:sSubPr>
                    <m:ctrlPr>
                      <w:rPr>
                        <w:rFonts w:ascii="Cambria Math" w:eastAsia="Times New Roman" w:hAnsi="Cambria Math"/>
                        <w:i/>
                        <w:sz w:val="20"/>
                        <w:szCs w:val="20"/>
                        <w:lang w:val="en-GB"/>
                      </w:rPr>
                    </m:ctrlPr>
                  </m:sSubPr>
                  <m:e>
                    <m:r>
                      <w:rPr>
                        <w:rFonts w:ascii="Cambria Math" w:hAnsi="Cambria Math"/>
                      </w:rPr>
                      <m:t>og</m:t>
                    </m:r>
                  </m:e>
                  <m:sub>
                    <m:r>
                      <w:rPr>
                        <w:rFonts w:ascii="Cambria Math" w:hAnsi="Cambria Math"/>
                      </w:rPr>
                      <m:t>2</m:t>
                    </m:r>
                  </m:sub>
                </m:sSub>
                <m:d>
                  <m:dPr>
                    <m:ctrlPr>
                      <w:rPr>
                        <w:rFonts w:ascii="Cambria Math" w:eastAsia="Times New Roman" w:hAnsi="Cambria Math"/>
                        <w:i/>
                        <w:sz w:val="20"/>
                        <w:szCs w:val="20"/>
                        <w:lang w:val="en-GB"/>
                      </w:rPr>
                    </m:ctrlPr>
                  </m:dPr>
                  <m:e>
                    <m:r>
                      <w:rPr>
                        <w:rFonts w:ascii="Cambria Math" w:hAnsi="Cambria Math"/>
                      </w:rPr>
                      <m:t>1+SNR</m:t>
                    </m:r>
                  </m:e>
                </m:d>
                <m:r>
                  <w:rPr>
                    <w:rFonts w:ascii="Cambria Math" w:hAnsi="Cambria Math"/>
                  </w:rPr>
                  <m:t xml:space="preserve"> ≈l</m:t>
                </m:r>
                <m:sSub>
                  <m:sSubPr>
                    <m:ctrlPr>
                      <w:rPr>
                        <w:rFonts w:ascii="Cambria Math" w:eastAsia="Times New Roman" w:hAnsi="Cambria Math"/>
                        <w:i/>
                        <w:sz w:val="20"/>
                        <w:szCs w:val="20"/>
                        <w:lang w:val="en-GB"/>
                      </w:rPr>
                    </m:ctrlPr>
                  </m:sSubPr>
                  <m:e>
                    <m:r>
                      <w:rPr>
                        <w:rFonts w:ascii="Cambria Math" w:hAnsi="Cambria Math"/>
                      </w:rPr>
                      <m:t>og</m:t>
                    </m:r>
                  </m:e>
                  <m:sub>
                    <m:r>
                      <w:rPr>
                        <w:rFonts w:ascii="Cambria Math" w:hAnsi="Cambria Math"/>
                      </w:rPr>
                      <m:t>2</m:t>
                    </m:r>
                  </m:sub>
                </m:sSub>
                <m:d>
                  <m:dPr>
                    <m:ctrlPr>
                      <w:rPr>
                        <w:rFonts w:ascii="Cambria Math" w:eastAsia="Times New Roman" w:hAnsi="Cambria Math"/>
                        <w:i/>
                        <w:sz w:val="20"/>
                        <w:szCs w:val="20"/>
                        <w:lang w:val="en-GB"/>
                      </w:rPr>
                    </m:ctrlPr>
                  </m:dPr>
                  <m:e>
                    <m:r>
                      <w:rPr>
                        <w:rFonts w:ascii="Cambria Math" w:hAnsi="Cambria Math"/>
                      </w:rPr>
                      <m:t>SNR</m:t>
                    </m:r>
                  </m:e>
                </m:d>
              </m:oMath>
            </m:oMathPara>
          </w:p>
        </w:tc>
        <w:tc>
          <w:tcPr>
            <w:tcW w:w="4253" w:type="dxa"/>
          </w:tcPr>
          <w:p w14:paraId="01113E46" w14:textId="3316198F" w:rsidR="001F6247" w:rsidRDefault="001F6247" w:rsidP="001F6247">
            <w:pPr>
              <w:pStyle w:val="BodyText"/>
              <w:ind w:left="720"/>
            </w:pPr>
            <m:oMathPara>
              <m:oMath>
                <m:r>
                  <w:rPr>
                    <w:rFonts w:ascii="Cambria Math" w:hAnsi="Cambria Math"/>
                  </w:rPr>
                  <m:t>l</m:t>
                </m:r>
                <m:sSub>
                  <m:sSubPr>
                    <m:ctrlPr>
                      <w:rPr>
                        <w:rFonts w:ascii="Cambria Math" w:eastAsia="Times New Roman" w:hAnsi="Cambria Math"/>
                        <w:i/>
                        <w:sz w:val="20"/>
                        <w:szCs w:val="20"/>
                        <w:lang w:val="en-GB"/>
                      </w:rPr>
                    </m:ctrlPr>
                  </m:sSubPr>
                  <m:e>
                    <m:r>
                      <w:rPr>
                        <w:rFonts w:ascii="Cambria Math" w:hAnsi="Cambria Math"/>
                      </w:rPr>
                      <m:t>og</m:t>
                    </m:r>
                  </m:e>
                  <m:sub>
                    <m:r>
                      <w:rPr>
                        <w:rFonts w:ascii="Cambria Math" w:hAnsi="Cambria Math"/>
                      </w:rPr>
                      <m:t>2</m:t>
                    </m:r>
                  </m:sub>
                </m:sSub>
                <m:d>
                  <m:dPr>
                    <m:ctrlPr>
                      <w:rPr>
                        <w:rFonts w:ascii="Cambria Math" w:eastAsia="Times New Roman" w:hAnsi="Cambria Math"/>
                        <w:i/>
                        <w:sz w:val="20"/>
                        <w:szCs w:val="20"/>
                        <w:lang w:val="en-GB"/>
                      </w:rPr>
                    </m:ctrlPr>
                  </m:dPr>
                  <m:e>
                    <m:r>
                      <w:rPr>
                        <w:rFonts w:ascii="Cambria Math" w:hAnsi="Cambria Math"/>
                      </w:rPr>
                      <m:t>1+SNR</m:t>
                    </m:r>
                  </m:e>
                </m:d>
                <m:r>
                  <w:rPr>
                    <w:rFonts w:ascii="Cambria Math" w:hAnsi="Cambria Math"/>
                  </w:rPr>
                  <m:t xml:space="preserve"> ≈SNRl</m:t>
                </m:r>
                <m:sSub>
                  <m:sSubPr>
                    <m:ctrlPr>
                      <w:rPr>
                        <w:rFonts w:ascii="Cambria Math" w:eastAsia="Times New Roman" w:hAnsi="Cambria Math"/>
                        <w:i/>
                        <w:sz w:val="20"/>
                        <w:szCs w:val="20"/>
                        <w:lang w:val="en-GB"/>
                      </w:rPr>
                    </m:ctrlPr>
                  </m:sSubPr>
                  <m:e>
                    <m:r>
                      <w:rPr>
                        <w:rFonts w:ascii="Cambria Math" w:hAnsi="Cambria Math"/>
                      </w:rPr>
                      <m:t>og</m:t>
                    </m:r>
                  </m:e>
                  <m:sub>
                    <m:r>
                      <w:rPr>
                        <w:rFonts w:ascii="Cambria Math" w:hAnsi="Cambria Math"/>
                      </w:rPr>
                      <m:t>2</m:t>
                    </m:r>
                  </m:sub>
                </m:sSub>
                <m:d>
                  <m:dPr>
                    <m:ctrlPr>
                      <w:rPr>
                        <w:rFonts w:ascii="Cambria Math" w:eastAsia="Times New Roman" w:hAnsi="Cambria Math"/>
                        <w:i/>
                        <w:sz w:val="20"/>
                        <w:szCs w:val="20"/>
                        <w:lang w:val="en-GB"/>
                      </w:rPr>
                    </m:ctrlPr>
                  </m:dPr>
                  <m:e>
                    <m:r>
                      <w:rPr>
                        <w:rFonts w:ascii="Cambria Math" w:hAnsi="Cambria Math"/>
                      </w:rPr>
                      <m:t>e</m:t>
                    </m:r>
                  </m:e>
                </m:d>
                <m:r>
                  <w:rPr>
                    <w:rFonts w:ascii="Cambria Math" w:hAnsi="Cambria Math"/>
                  </w:rPr>
                  <m:t xml:space="preserve">, </m:t>
                </m:r>
              </m:oMath>
            </m:oMathPara>
          </w:p>
        </w:tc>
      </w:tr>
    </w:tbl>
    <w:p w14:paraId="28D98CD9" w14:textId="77777777" w:rsidR="001F6247" w:rsidRDefault="001F6247" w:rsidP="00834CE8">
      <w:pPr>
        <w:pStyle w:val="BodyText"/>
      </w:pPr>
    </w:p>
    <w:p w14:paraId="0897D8FE" w14:textId="6B0EF025" w:rsidR="00137A28" w:rsidRDefault="00137A28" w:rsidP="00834CE8">
      <w:pPr>
        <w:pStyle w:val="BodyText"/>
      </w:pPr>
      <w:r>
        <w:t>When the SNR is high, the capacity increases logarithmically with the received power</w:t>
      </w:r>
      <w:r w:rsidR="001C4151">
        <w:t xml:space="preserve"> </w:t>
      </w:r>
      <m:oMath>
        <m:r>
          <w:rPr>
            <w:rFonts w:ascii="Cambria Math" w:hAnsi="Cambria Math"/>
          </w:rPr>
          <m:t>P</m:t>
        </m:r>
      </m:oMath>
      <w:r w:rsidR="001C4151">
        <w:t xml:space="preserve">, while </w:t>
      </w:r>
      <w:r w:rsidR="001F6247">
        <w:t>at a low</w:t>
      </w:r>
      <w:r w:rsidR="001C4151">
        <w:t xml:space="preserve"> </w:t>
      </w:r>
      <w:r w:rsidR="001F6247">
        <w:t>SNR</w:t>
      </w:r>
      <w:r w:rsidR="001C4151">
        <w:t xml:space="preserve"> the capacity increases linearly with the received power </w:t>
      </w:r>
      <m:oMath>
        <m:r>
          <w:rPr>
            <w:rFonts w:ascii="Cambria Math" w:hAnsi="Cambria Math"/>
          </w:rPr>
          <m:t>P</m:t>
        </m:r>
      </m:oMath>
      <w:r w:rsidR="001C4151">
        <w:t>.</w:t>
      </w:r>
    </w:p>
    <w:p w14:paraId="2F4F97FA" w14:textId="1CD6684C" w:rsidR="00834CE8" w:rsidRDefault="00874CF5" w:rsidP="008B16B7">
      <w:pPr>
        <w:pStyle w:val="Heading3"/>
      </w:pPr>
      <w:r>
        <w:t>2.1.1</w:t>
      </w:r>
      <w:r>
        <w:tab/>
        <w:t>Dual-</w:t>
      </w:r>
      <w:r w:rsidR="00F506AD">
        <w:t xml:space="preserve">layer </w:t>
      </w:r>
      <w:r w:rsidR="00732879">
        <w:t>at</w:t>
      </w:r>
      <w:r w:rsidR="00F506AD">
        <w:t xml:space="preserve"> high</w:t>
      </w:r>
      <w:r w:rsidR="008B16B7">
        <w:t xml:space="preserve"> SNR</w:t>
      </w:r>
    </w:p>
    <w:p w14:paraId="3C24CAB5" w14:textId="47D28A0A" w:rsidR="008B16B7" w:rsidRDefault="0098459D" w:rsidP="008B16B7">
      <w:pPr>
        <w:rPr>
          <w:rFonts w:ascii="Arial" w:hAnsi="Arial" w:cs="Arial"/>
        </w:rPr>
      </w:pPr>
      <w:r>
        <w:rPr>
          <w:rFonts w:ascii="Arial" w:hAnsi="Arial" w:cs="Arial"/>
        </w:rPr>
        <w:t>At</w:t>
      </w:r>
      <w:r w:rsidR="00FF3331" w:rsidRPr="00FF3331">
        <w:rPr>
          <w:rFonts w:ascii="Arial" w:hAnsi="Arial" w:cs="Arial"/>
        </w:rPr>
        <w:t xml:space="preserve"> a high SNR region, </w:t>
      </w:r>
      <w:r w:rsidR="005D2172">
        <w:rPr>
          <w:rFonts w:ascii="Arial" w:hAnsi="Arial" w:cs="Arial"/>
        </w:rPr>
        <w:t>to get</w:t>
      </w:r>
      <w:r w:rsidR="00B91A5A">
        <w:rPr>
          <w:rFonts w:ascii="Arial" w:hAnsi="Arial" w:cs="Arial"/>
        </w:rPr>
        <w:t xml:space="preserve"> the most </w:t>
      </w:r>
      <w:r w:rsidR="005D2172">
        <w:rPr>
          <w:rFonts w:ascii="Arial" w:hAnsi="Arial" w:cs="Arial"/>
        </w:rPr>
        <w:t xml:space="preserve">out </w:t>
      </w:r>
      <w:r w:rsidR="00B91A5A">
        <w:rPr>
          <w:rFonts w:ascii="Arial" w:hAnsi="Arial" w:cs="Arial"/>
        </w:rPr>
        <w:t>of the multi-stream transmission</w:t>
      </w:r>
      <w:r w:rsidR="005D2172">
        <w:rPr>
          <w:rFonts w:ascii="Arial" w:hAnsi="Arial" w:cs="Arial"/>
        </w:rPr>
        <w:t>,</w:t>
      </w:r>
      <w:r w:rsidR="00B91A5A">
        <w:rPr>
          <w:rFonts w:ascii="Arial" w:hAnsi="Arial" w:cs="Arial"/>
        </w:rPr>
        <w:t xml:space="preserve"> the power is equally distributed to</w:t>
      </w:r>
      <w:r>
        <w:rPr>
          <w:rFonts w:ascii="Arial" w:hAnsi="Arial" w:cs="Arial"/>
        </w:rPr>
        <w:t xml:space="preserve"> all sub-channels with non-zero eigenvalues, </w:t>
      </w:r>
      <w:r w:rsidR="005D2172">
        <w:rPr>
          <w:rFonts w:ascii="Arial" w:hAnsi="Arial" w:cs="Arial"/>
        </w:rPr>
        <w:t xml:space="preserve">in which case </w:t>
      </w:r>
      <w:r>
        <w:rPr>
          <w:rFonts w:ascii="Arial" w:hAnsi="Arial" w:cs="Arial"/>
        </w:rPr>
        <w:t>the capacity can be written as follows:</w:t>
      </w:r>
    </w:p>
    <w:p w14:paraId="3554816D" w14:textId="189AA7D3" w:rsidR="0098459D" w:rsidRPr="00B91A5A" w:rsidRDefault="0098459D" w:rsidP="0098459D">
      <w:pPr>
        <w:pStyle w:val="BodyText"/>
      </w:pPr>
      <m:oMathPara>
        <m:oMath>
          <m:r>
            <w:rPr>
              <w:rFonts w:ascii="Cambria Math" w:hAnsi="Cambria Math"/>
            </w:rPr>
            <m:t>C=W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sSub>
                        <m:sSubPr>
                          <m:ctrlPr>
                            <w:rPr>
                              <w:rFonts w:ascii="Cambria Math" w:hAnsi="Cambria Math"/>
                              <w:i/>
                            </w:rPr>
                          </m:ctrlPr>
                        </m:sSubPr>
                        <m:e>
                          <m:r>
                            <w:rPr>
                              <w:rFonts w:ascii="Cambria Math" w:hAnsi="Cambria Math"/>
                            </w:rPr>
                            <m:t>P</m:t>
                          </m:r>
                        </m:e>
                        <m:sub>
                          <m:r>
                            <w:rPr>
                              <w:rFonts w:ascii="Cambria Math" w:hAnsi="Cambria Math"/>
                            </w:rPr>
                            <m:t>i</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e>
          </m:nary>
          <m:r>
            <w:rPr>
              <w:rFonts w:ascii="Cambria Math" w:hAnsi="Cambria Math"/>
            </w:rPr>
            <m:t>≈W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sSub>
                        <m:sSubPr>
                          <m:ctrlPr>
                            <w:rPr>
                              <w:rFonts w:ascii="Cambria Math" w:hAnsi="Cambria Math"/>
                              <w:i/>
                            </w:rPr>
                          </m:ctrlPr>
                        </m:sSubPr>
                        <m:e>
                          <m:r>
                            <w:rPr>
                              <w:rFonts w:ascii="Cambria Math" w:hAnsi="Cambria Math"/>
                            </w:rPr>
                            <m:t>P</m:t>
                          </m:r>
                        </m:e>
                        <m:sub>
                          <m:r>
                            <w:rPr>
                              <w:rFonts w:ascii="Cambria Math" w:hAnsi="Cambria Math"/>
                            </w:rPr>
                            <m:t>i</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e>
          </m:nary>
        </m:oMath>
      </m:oMathPara>
    </w:p>
    <w:p w14:paraId="2709C169" w14:textId="62DF6FA0" w:rsidR="00B91A5A" w:rsidRDefault="00B91A5A" w:rsidP="00B91A5A">
      <w:pPr>
        <w:pStyle w:val="BodyText"/>
      </w:pPr>
      <m:oMathPara>
        <m:oMath>
          <m:r>
            <w:rPr>
              <w:rFonts w:ascii="Cambria Math" w:hAnsi="Cambria Math"/>
            </w:rPr>
            <m:t>C≈W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r>
                        <w:rPr>
                          <w:rFonts w:ascii="Cambria Math" w:hAnsi="Cambria Math"/>
                        </w:rPr>
                        <m:t>P</m:t>
                      </m:r>
                    </m:num>
                    <m:den>
                      <m:sSup>
                        <m:sSupPr>
                          <m:ctrlPr>
                            <w:rPr>
                              <w:rFonts w:ascii="Cambria Math" w:hAnsi="Cambria Math"/>
                              <w:i/>
                            </w:rPr>
                          </m:ctrlPr>
                        </m:sSupPr>
                        <m:e>
                          <m:r>
                            <w:rPr>
                              <w:rFonts w:ascii="Cambria Math" w:hAnsi="Cambria Math"/>
                            </w:rPr>
                            <m:t>σ</m:t>
                          </m:r>
                        </m:e>
                        <m:sup>
                          <m:r>
                            <w:rPr>
                              <w:rFonts w:ascii="Cambria Math" w:hAnsi="Cambria Math"/>
                            </w:rPr>
                            <m:t>2</m:t>
                          </m:r>
                        </m:sup>
                      </m:sSup>
                      <m:sSub>
                        <m:sSubPr>
                          <m:ctrlPr>
                            <w:rPr>
                              <w:rFonts w:ascii="Cambria Math" w:hAnsi="Cambria Math"/>
                              <w:i/>
                            </w:rPr>
                          </m:ctrlPr>
                        </m:sSubPr>
                        <m:e>
                          <m:r>
                            <w:rPr>
                              <w:rFonts w:ascii="Cambria Math" w:hAnsi="Cambria Math"/>
                            </w:rPr>
                            <m:t>R</m:t>
                          </m:r>
                        </m:e>
                        <m:sub>
                          <m:r>
                            <w:rPr>
                              <w:rFonts w:ascii="Cambria Math" w:hAnsi="Cambria Math"/>
                            </w:rPr>
                            <m:t>H</m:t>
                          </m:r>
                        </m:sub>
                      </m:sSub>
                    </m:den>
                  </m:f>
                </m:e>
              </m:d>
              <m:r>
                <w:rPr>
                  <w:rFonts w:ascii="Cambria Math" w:hAnsi="Cambria Math"/>
                </w:rPr>
                <m:t>=</m:t>
              </m:r>
            </m:e>
          </m:nary>
          <m:r>
            <w:rPr>
              <w:rFonts w:ascii="Cambria Math" w:hAnsi="Cambria Math"/>
            </w:rPr>
            <m:t>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P</m:t>
                          </m:r>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num>
                        <m:den>
                          <m:sSub>
                            <m:sSubPr>
                              <m:ctrlPr>
                                <w:rPr>
                                  <w:rFonts w:ascii="Cambria Math" w:hAnsi="Cambria Math"/>
                                  <w:i/>
                                </w:rPr>
                              </m:ctrlPr>
                            </m:sSubPr>
                            <m:e>
                              <m:r>
                                <w:rPr>
                                  <w:rFonts w:ascii="Cambria Math" w:hAnsi="Cambria Math"/>
                                </w:rPr>
                                <m:t>R</m:t>
                              </m:r>
                            </m:e>
                            <m:sub>
                              <m:r>
                                <w:rPr>
                                  <w:rFonts w:ascii="Cambria Math" w:hAnsi="Cambria Math"/>
                                </w:rPr>
                                <m:t>H</m:t>
                              </m:r>
                            </m:sub>
                          </m:sSub>
                        </m:den>
                      </m:f>
                    </m:e>
                  </m:d>
                </m:e>
              </m:d>
            </m:e>
          </m:nary>
          <m:r>
            <w:rPr>
              <w:rFonts w:ascii="Cambria Math" w:hAnsi="Cambria Math"/>
            </w:rPr>
            <m:t>=W</m:t>
          </m:r>
          <m:sSub>
            <m:sSubPr>
              <m:ctrlPr>
                <w:rPr>
                  <w:rFonts w:ascii="Cambria Math" w:hAnsi="Cambria Math"/>
                  <w:i/>
                </w:rPr>
              </m:ctrlPr>
            </m:sSubPr>
            <m:e>
              <m:r>
                <w:rPr>
                  <w:rFonts w:ascii="Cambria Math" w:hAnsi="Cambria Math"/>
                </w:rPr>
                <m:t>R</m:t>
              </m:r>
            </m:e>
            <m:sub>
              <m:r>
                <w:rPr>
                  <w:rFonts w:ascii="Cambria Math" w:hAnsi="Cambria Math"/>
                </w:rPr>
                <m:t>H</m:t>
              </m:r>
            </m:sub>
          </m:sSub>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P</m:t>
                  </m:r>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r>
            <w:rPr>
              <w:rFonts w:ascii="Cambria Math" w:hAnsi="Cambria Math"/>
            </w:rPr>
            <m:t>+W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num>
                    <m:den>
                      <m:sSub>
                        <m:sSubPr>
                          <m:ctrlPr>
                            <w:rPr>
                              <w:rFonts w:ascii="Cambria Math" w:hAnsi="Cambria Math"/>
                              <w:i/>
                            </w:rPr>
                          </m:ctrlPr>
                        </m:sSubPr>
                        <m:e>
                          <m:r>
                            <w:rPr>
                              <w:rFonts w:ascii="Cambria Math" w:hAnsi="Cambria Math"/>
                            </w:rPr>
                            <m:t>R</m:t>
                          </m:r>
                        </m:e>
                        <m:sub>
                          <m:r>
                            <w:rPr>
                              <w:rFonts w:ascii="Cambria Math" w:hAnsi="Cambria Math"/>
                            </w:rPr>
                            <m:t>H</m:t>
                          </m:r>
                        </m:sub>
                      </m:sSub>
                    </m:den>
                  </m:f>
                </m:e>
              </m:d>
            </m:e>
          </m:nary>
        </m:oMath>
      </m:oMathPara>
    </w:p>
    <w:p w14:paraId="01697A8F" w14:textId="3B4E989A" w:rsidR="0098459D" w:rsidRPr="00FF3331" w:rsidRDefault="00732879" w:rsidP="008B16B7">
      <w:pPr>
        <w:rPr>
          <w:rFonts w:ascii="Arial" w:hAnsi="Arial" w:cs="Arial"/>
        </w:rPr>
      </w:pPr>
      <w:r>
        <w:rPr>
          <w:rFonts w:ascii="Arial" w:hAnsi="Arial" w:cs="Arial"/>
        </w:rPr>
        <w:t>For large SNR, the capacity increases linearly with the rank of the MIMO channel matrix (</w:t>
      </w:r>
      <m:oMath>
        <m:sSub>
          <m:sSubPr>
            <m:ctrlPr>
              <w:rPr>
                <w:rFonts w:ascii="Cambria Math" w:hAnsi="Cambria Math"/>
                <w:i/>
                <w:lang w:eastAsia="zh-CN"/>
              </w:rPr>
            </m:ctrlPr>
          </m:sSubPr>
          <m:e>
            <m:r>
              <w:rPr>
                <w:rFonts w:ascii="Cambria Math" w:hAnsi="Cambria Math"/>
              </w:rPr>
              <m:t>R</m:t>
            </m:r>
          </m:e>
          <m:sub>
            <m:r>
              <w:rPr>
                <w:rFonts w:ascii="Cambria Math" w:hAnsi="Cambria Math"/>
              </w:rPr>
              <m:t>H</m:t>
            </m:r>
          </m:sub>
        </m:sSub>
      </m:oMath>
      <w:r>
        <w:rPr>
          <w:rFonts w:ascii="Arial" w:hAnsi="Arial" w:cs="Arial"/>
        </w:rPr>
        <w:t xml:space="preserve">). That is, </w:t>
      </w:r>
      <w:r w:rsidRPr="00732879">
        <w:rPr>
          <w:rFonts w:ascii="Arial" w:hAnsi="Arial" w:cs="Arial"/>
        </w:rPr>
        <w:t>the rank provides an intuitive insight of</w:t>
      </w:r>
      <w:r>
        <w:rPr>
          <w:rFonts w:ascii="Arial" w:hAnsi="Arial" w:cs="Arial"/>
        </w:rPr>
        <w:t xml:space="preserve"> the channel capacity.</w:t>
      </w:r>
    </w:p>
    <w:p w14:paraId="4C275C94" w14:textId="18400F08" w:rsidR="008B16B7" w:rsidRDefault="00874CF5" w:rsidP="008B16B7">
      <w:pPr>
        <w:pStyle w:val="Heading3"/>
      </w:pPr>
      <w:r>
        <w:t>2.1.2</w:t>
      </w:r>
      <w:r>
        <w:tab/>
        <w:t>Dual-</w:t>
      </w:r>
      <w:r w:rsidR="00732879">
        <w:t>layer at</w:t>
      </w:r>
      <w:r w:rsidR="00F506AD">
        <w:t xml:space="preserve"> low</w:t>
      </w:r>
      <w:r w:rsidR="008B16B7">
        <w:t xml:space="preserve"> SNR</w:t>
      </w:r>
    </w:p>
    <w:p w14:paraId="659AFEEC" w14:textId="55FC8A22" w:rsidR="008B16B7" w:rsidRDefault="00DE0AA4" w:rsidP="008B16B7">
      <w:pPr>
        <w:rPr>
          <w:rFonts w:ascii="Arial" w:hAnsi="Arial" w:cs="Arial"/>
        </w:rPr>
      </w:pPr>
      <w:r>
        <w:rPr>
          <w:rFonts w:ascii="Arial" w:hAnsi="Arial" w:cs="Arial"/>
        </w:rPr>
        <w:t>At a low SNR</w:t>
      </w:r>
      <w:r w:rsidR="00E16627">
        <w:rPr>
          <w:rFonts w:ascii="Arial" w:hAnsi="Arial" w:cs="Arial"/>
        </w:rPr>
        <w:t xml:space="preserve"> region, if we distribute the </w:t>
      </w:r>
      <w:r>
        <w:rPr>
          <w:rFonts w:ascii="Arial" w:hAnsi="Arial" w:cs="Arial"/>
        </w:rPr>
        <w:t xml:space="preserve">power </w:t>
      </w:r>
      <w:r w:rsidR="00E16627">
        <w:rPr>
          <w:rFonts w:ascii="Arial" w:hAnsi="Arial" w:cs="Arial"/>
        </w:rPr>
        <w:t xml:space="preserve">equally </w:t>
      </w:r>
      <w:r>
        <w:rPr>
          <w:rFonts w:ascii="Arial" w:hAnsi="Arial" w:cs="Arial"/>
        </w:rPr>
        <w:t>to all sub-channels with non</w:t>
      </w:r>
      <w:r w:rsidR="00CA31A4">
        <w:rPr>
          <w:rFonts w:ascii="Arial" w:hAnsi="Arial" w:cs="Arial"/>
        </w:rPr>
        <w:t xml:space="preserve">-zero eigenvalues, the </w:t>
      </w:r>
      <w:r w:rsidR="004F46F5">
        <w:rPr>
          <w:rFonts w:ascii="Arial" w:hAnsi="Arial" w:cs="Arial"/>
        </w:rPr>
        <w:t xml:space="preserve">resulting </w:t>
      </w:r>
      <w:r w:rsidR="00E16627">
        <w:rPr>
          <w:rFonts w:ascii="Arial" w:hAnsi="Arial" w:cs="Arial"/>
        </w:rPr>
        <w:t>capacity is as follows</w:t>
      </w:r>
      <w:r w:rsidR="00CA31A4">
        <w:rPr>
          <w:rFonts w:ascii="Arial" w:hAnsi="Arial" w:cs="Arial"/>
        </w:rPr>
        <w:t>:</w:t>
      </w:r>
    </w:p>
    <w:p w14:paraId="76F27D7E" w14:textId="6E6B7C0F" w:rsidR="00CA31A4" w:rsidRPr="00CA31A4" w:rsidRDefault="00CA31A4" w:rsidP="00CA31A4">
      <w:pPr>
        <w:pStyle w:val="BodyText"/>
      </w:pPr>
      <m:oMathPara>
        <m:oMath>
          <m:r>
            <w:rPr>
              <w:rFonts w:ascii="Cambria Math" w:hAnsi="Cambria Math"/>
            </w:rPr>
            <m:t>C=W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sSub>
                        <m:sSubPr>
                          <m:ctrlPr>
                            <w:rPr>
                              <w:rFonts w:ascii="Cambria Math" w:hAnsi="Cambria Math"/>
                              <w:i/>
                            </w:rPr>
                          </m:ctrlPr>
                        </m:sSubPr>
                        <m:e>
                          <m:r>
                            <w:rPr>
                              <w:rFonts w:ascii="Cambria Math" w:hAnsi="Cambria Math"/>
                            </w:rPr>
                            <m:t>P</m:t>
                          </m:r>
                        </m:e>
                        <m:sub>
                          <m:r>
                            <w:rPr>
                              <w:rFonts w:ascii="Cambria Math" w:hAnsi="Cambria Math"/>
                            </w:rPr>
                            <m:t>i</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e>
          </m:nary>
          <m:r>
            <w:rPr>
              <w:rFonts w:ascii="Cambria Math" w:hAnsi="Cambria Math"/>
            </w:rPr>
            <m:t>≈W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sSub>
                    <m:sSubPr>
                      <m:ctrlPr>
                        <w:rPr>
                          <w:rFonts w:ascii="Cambria Math" w:hAnsi="Cambria Math"/>
                          <w:i/>
                        </w:rPr>
                      </m:ctrlPr>
                    </m:sSubPr>
                    <m:e>
                      <m:r>
                        <w:rPr>
                          <w:rFonts w:ascii="Cambria Math" w:hAnsi="Cambria Math"/>
                        </w:rPr>
                        <m:t>P</m:t>
                      </m:r>
                    </m:e>
                    <m:sub>
                      <m:r>
                        <w:rPr>
                          <w:rFonts w:ascii="Cambria Math" w:hAnsi="Cambria Math"/>
                        </w:rPr>
                        <m:t>i</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e</m:t>
                  </m:r>
                </m:e>
              </m:d>
            </m:e>
          </m:nary>
        </m:oMath>
      </m:oMathPara>
    </w:p>
    <w:p w14:paraId="2C834908" w14:textId="272BD5A4" w:rsidR="00CA31A4" w:rsidRPr="00B91A5A" w:rsidRDefault="00CA31A4" w:rsidP="00CA31A4">
      <w:pPr>
        <w:pStyle w:val="BodyText"/>
      </w:pPr>
      <m:oMathPara>
        <m:oMath>
          <m:r>
            <w:rPr>
              <w:rFonts w:ascii="Cambria Math" w:hAnsi="Cambria Math"/>
            </w:rPr>
            <m:t>C≈W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r>
                    <w:rPr>
                      <w:rFonts w:ascii="Cambria Math" w:hAnsi="Cambria Math"/>
                    </w:rPr>
                    <m:t>P</m:t>
                  </m:r>
                </m:num>
                <m:den>
                  <m:sSup>
                    <m:sSupPr>
                      <m:ctrlPr>
                        <w:rPr>
                          <w:rFonts w:ascii="Cambria Math" w:hAnsi="Cambria Math"/>
                          <w:i/>
                        </w:rPr>
                      </m:ctrlPr>
                    </m:sSupPr>
                    <m:e>
                      <m:r>
                        <w:rPr>
                          <w:rFonts w:ascii="Cambria Math" w:hAnsi="Cambria Math"/>
                        </w:rPr>
                        <m:t>σ</m:t>
                      </m:r>
                    </m:e>
                    <m:sup>
                      <m:r>
                        <w:rPr>
                          <w:rFonts w:ascii="Cambria Math" w:hAnsi="Cambria Math"/>
                        </w:rPr>
                        <m:t>2</m:t>
                      </m:r>
                    </m:sup>
                  </m:sSup>
                  <m:sSub>
                    <m:sSubPr>
                      <m:ctrlPr>
                        <w:rPr>
                          <w:rFonts w:ascii="Cambria Math" w:hAnsi="Cambria Math"/>
                          <w:i/>
                        </w:rPr>
                      </m:ctrlPr>
                    </m:sSubPr>
                    <m:e>
                      <m:r>
                        <w:rPr>
                          <w:rFonts w:ascii="Cambria Math" w:hAnsi="Cambria Math"/>
                        </w:rPr>
                        <m:t>R</m:t>
                      </m:r>
                    </m:e>
                    <m:sub>
                      <m:r>
                        <w:rPr>
                          <w:rFonts w:ascii="Cambria Math" w:hAnsi="Cambria Math"/>
                        </w:rPr>
                        <m:t>H</m:t>
                      </m:r>
                    </m:sub>
                  </m:sSub>
                </m:den>
              </m:f>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e</m:t>
                  </m:r>
                </m:e>
              </m:d>
              <m:r>
                <w:rPr>
                  <w:rFonts w:ascii="Cambria Math" w:hAnsi="Cambria Math"/>
                </w:rPr>
                <m:t>=W</m:t>
              </m:r>
              <m:f>
                <m:fPr>
                  <m:ctrlPr>
                    <w:rPr>
                      <w:rFonts w:ascii="Cambria Math" w:hAnsi="Cambria Math"/>
                      <w:i/>
                    </w:rPr>
                  </m:ctrlPr>
                </m:fPr>
                <m:num>
                  <m:r>
                    <w:rPr>
                      <w:rFonts w:ascii="Cambria Math" w:hAnsi="Cambria Math"/>
                    </w:rPr>
                    <m:t>P</m:t>
                  </m:r>
                </m:num>
                <m:den>
                  <m:sSup>
                    <m:sSupPr>
                      <m:ctrlPr>
                        <w:rPr>
                          <w:rFonts w:ascii="Cambria Math" w:hAnsi="Cambria Math"/>
                          <w:i/>
                        </w:rPr>
                      </m:ctrlPr>
                    </m:sSupPr>
                    <m:e>
                      <m:r>
                        <w:rPr>
                          <w:rFonts w:ascii="Cambria Math" w:hAnsi="Cambria Math"/>
                        </w:rPr>
                        <m:t>σ</m:t>
                      </m:r>
                    </m:e>
                    <m:sup>
                      <m:r>
                        <w:rPr>
                          <w:rFonts w:ascii="Cambria Math" w:hAnsi="Cambria Math"/>
                        </w:rPr>
                        <m:t>2</m:t>
                      </m:r>
                    </m:sup>
                  </m:sSup>
                </m:den>
              </m:f>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num>
                    <m:den>
                      <m:sSub>
                        <m:sSubPr>
                          <m:ctrlPr>
                            <w:rPr>
                              <w:rFonts w:ascii="Cambria Math" w:hAnsi="Cambria Math"/>
                              <w:i/>
                            </w:rPr>
                          </m:ctrlPr>
                        </m:sSubPr>
                        <m:e>
                          <m:r>
                            <w:rPr>
                              <w:rFonts w:ascii="Cambria Math" w:hAnsi="Cambria Math"/>
                            </w:rPr>
                            <m:t>R</m:t>
                          </m:r>
                        </m:e>
                        <m:sub>
                          <m:r>
                            <w:rPr>
                              <w:rFonts w:ascii="Cambria Math" w:hAnsi="Cambria Math"/>
                            </w:rPr>
                            <m:t>H</m:t>
                          </m:r>
                        </m:sub>
                      </m:sSub>
                    </m:den>
                  </m:f>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e</m:t>
                      </m:r>
                    </m:e>
                  </m:d>
                </m:e>
              </m:nary>
            </m:e>
          </m:nary>
        </m:oMath>
      </m:oMathPara>
    </w:p>
    <w:p w14:paraId="1B862345" w14:textId="5B46A244" w:rsidR="00834CE8" w:rsidRDefault="00E16627" w:rsidP="00834CE8">
      <w:pPr>
        <w:pStyle w:val="BodyText"/>
      </w:pPr>
      <w:r>
        <w:lastRenderedPageBreak/>
        <w:t>However, at a low SNR region, to get the most out of the transmission it is better to supply power only to the strongest eigenmode, in which case the resulting capacity is as follows:</w:t>
      </w:r>
    </w:p>
    <w:p w14:paraId="201EA0A5" w14:textId="77777777" w:rsidR="00E16627" w:rsidRPr="00CA31A4" w:rsidRDefault="00E16627" w:rsidP="00E16627">
      <w:pPr>
        <w:pStyle w:val="BodyText"/>
      </w:pPr>
      <m:oMathPara>
        <m:oMath>
          <m:r>
            <w:rPr>
              <w:rFonts w:ascii="Cambria Math" w:hAnsi="Cambria Math"/>
            </w:rPr>
            <m:t>C=W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sSub>
                        <m:sSubPr>
                          <m:ctrlPr>
                            <w:rPr>
                              <w:rFonts w:ascii="Cambria Math" w:hAnsi="Cambria Math"/>
                              <w:i/>
                            </w:rPr>
                          </m:ctrlPr>
                        </m:sSubPr>
                        <m:e>
                          <m:r>
                            <w:rPr>
                              <w:rFonts w:ascii="Cambria Math" w:hAnsi="Cambria Math"/>
                            </w:rPr>
                            <m:t>P</m:t>
                          </m:r>
                        </m:e>
                        <m:sub>
                          <m:r>
                            <w:rPr>
                              <w:rFonts w:ascii="Cambria Math" w:hAnsi="Cambria Math"/>
                            </w:rPr>
                            <m:t>i</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e>
          </m:nary>
          <m:r>
            <w:rPr>
              <w:rFonts w:ascii="Cambria Math" w:hAnsi="Cambria Math"/>
            </w:rPr>
            <m:t>≈W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sSub>
                    <m:sSubPr>
                      <m:ctrlPr>
                        <w:rPr>
                          <w:rFonts w:ascii="Cambria Math" w:hAnsi="Cambria Math"/>
                          <w:i/>
                        </w:rPr>
                      </m:ctrlPr>
                    </m:sSubPr>
                    <m:e>
                      <m:r>
                        <w:rPr>
                          <w:rFonts w:ascii="Cambria Math" w:hAnsi="Cambria Math"/>
                        </w:rPr>
                        <m:t>P</m:t>
                      </m:r>
                    </m:e>
                    <m:sub>
                      <m:r>
                        <w:rPr>
                          <w:rFonts w:ascii="Cambria Math" w:hAnsi="Cambria Math"/>
                        </w:rPr>
                        <m:t>i</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e</m:t>
                  </m:r>
                </m:e>
              </m:d>
            </m:e>
          </m:nary>
        </m:oMath>
      </m:oMathPara>
    </w:p>
    <w:p w14:paraId="5205AEE9" w14:textId="01B50652" w:rsidR="00E16627" w:rsidRPr="00B91A5A" w:rsidRDefault="00E16627" w:rsidP="00E16627">
      <w:pPr>
        <w:pStyle w:val="BodyText"/>
      </w:pPr>
      <m:oMathPara>
        <m:oMath>
          <m:r>
            <w:rPr>
              <w:rFonts w:ascii="Cambria Math" w:hAnsi="Cambria Math"/>
            </w:rPr>
            <m:t>C≈W</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max</m:t>
                  </m:r>
                </m:sub>
              </m:sSub>
              <m:r>
                <w:rPr>
                  <w:rFonts w:ascii="Cambria Math" w:hAnsi="Cambria Math"/>
                </w:rPr>
                <m:t>P</m:t>
              </m:r>
            </m:num>
            <m:den>
              <m:sSup>
                <m:sSupPr>
                  <m:ctrlPr>
                    <w:rPr>
                      <w:rFonts w:ascii="Cambria Math" w:hAnsi="Cambria Math"/>
                      <w:i/>
                    </w:rPr>
                  </m:ctrlPr>
                </m:sSupPr>
                <m:e>
                  <m:r>
                    <w:rPr>
                      <w:rFonts w:ascii="Cambria Math" w:hAnsi="Cambria Math"/>
                    </w:rPr>
                    <m:t>σ</m:t>
                  </m:r>
                </m:e>
                <m:sup>
                  <m:r>
                    <w:rPr>
                      <w:rFonts w:ascii="Cambria Math" w:hAnsi="Cambria Math"/>
                    </w:rPr>
                    <m:t>2</m:t>
                  </m:r>
                </m:sup>
              </m:sSup>
            </m:den>
          </m:f>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e</m:t>
              </m:r>
            </m:e>
          </m:d>
        </m:oMath>
      </m:oMathPara>
    </w:p>
    <w:p w14:paraId="1E77292C" w14:textId="223BEAFD" w:rsidR="00B64EAE" w:rsidRDefault="006F57EF" w:rsidP="00834CE8">
      <w:pPr>
        <w:pStyle w:val="BodyText"/>
      </w:pPr>
      <w:r>
        <w:t xml:space="preserve">Since </w:t>
      </w:r>
      <w:bookmarkStart w:id="3" w:name="_Hlk524383249"/>
      <w:r w:rsidR="00305087">
        <w:t>the best is to supply the entire power to the finest sub-channel</w:t>
      </w:r>
      <w:bookmarkEnd w:id="3"/>
      <w:r w:rsidR="00305087">
        <w:t xml:space="preserve">, then </w:t>
      </w:r>
      <w:r w:rsidR="00583E33">
        <w:t xml:space="preserve">for low SNR regions </w:t>
      </w:r>
      <w:r w:rsidR="00305087" w:rsidRPr="00305087">
        <w:t>what we effectively have in the end is a single layer transmission.</w:t>
      </w:r>
      <w:r w:rsidR="00B97D32">
        <w:t xml:space="preserve"> </w:t>
      </w:r>
      <w:r w:rsidR="00D91537">
        <w:t>That is, in</w:t>
      </w:r>
      <w:r w:rsidR="00766BF5">
        <w:t xml:space="preserve"> the case of a low SNR, the MIMO channel behaves as a</w:t>
      </w:r>
      <w:r w:rsidR="00A704E3">
        <w:t xml:space="preserve"> SIMO channel if it is possible to take advantage of</w:t>
      </w:r>
      <w:r w:rsidR="00A704E3" w:rsidRPr="00A704E3">
        <w:t xml:space="preserve"> having </w:t>
      </w:r>
      <w:r w:rsidR="00A704E3">
        <w:t>more than one received antenna</w:t>
      </w:r>
      <w:r w:rsidR="00A704E3" w:rsidRPr="00A704E3">
        <w:t>, otherwise</w:t>
      </w:r>
      <w:r w:rsidR="00A704E3">
        <w:t xml:space="preserve"> the behaviour approximates </w:t>
      </w:r>
      <w:r w:rsidR="007164F6">
        <w:t xml:space="preserve">that of </w:t>
      </w:r>
      <w:r w:rsidR="00A704E3">
        <w:t>a</w:t>
      </w:r>
      <w:r w:rsidR="00766BF5">
        <w:t xml:space="preserve"> SISO channel.</w:t>
      </w:r>
    </w:p>
    <w:p w14:paraId="49C3BC40" w14:textId="63459D37" w:rsidR="00874CF5" w:rsidRDefault="00874CF5" w:rsidP="00834CE8">
      <w:pPr>
        <w:pStyle w:val="BodyText"/>
      </w:pPr>
      <w:r>
        <w:t>The figure below compares the channel capacity when Dual-layer is used at a low SNR range to transmit two data streams and a single data stream respectively.</w:t>
      </w:r>
    </w:p>
    <w:p w14:paraId="00AD458A" w14:textId="4DB3C1AD" w:rsidR="00874CF5" w:rsidRDefault="00534BF3" w:rsidP="00874CF5">
      <w:pPr>
        <w:pStyle w:val="BodyText"/>
        <w:jc w:val="center"/>
      </w:pPr>
      <w:r>
        <w:rPr>
          <w:noProof/>
        </w:rPr>
        <w:drawing>
          <wp:inline distT="0" distB="0" distL="0" distR="0" wp14:anchorId="7B440C70" wp14:editId="3FFC50C7">
            <wp:extent cx="4120556" cy="3387322"/>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284" cy="3397785"/>
                    </a:xfrm>
                    <a:prstGeom prst="rect">
                      <a:avLst/>
                    </a:prstGeom>
                    <a:noFill/>
                    <a:ln>
                      <a:noFill/>
                    </a:ln>
                  </pic:spPr>
                </pic:pic>
              </a:graphicData>
            </a:graphic>
          </wp:inline>
        </w:drawing>
      </w:r>
    </w:p>
    <w:p w14:paraId="54CD2C78" w14:textId="53E1324A" w:rsidR="00874CF5" w:rsidRPr="00874CF5" w:rsidRDefault="00874CF5" w:rsidP="00874CF5">
      <w:pPr>
        <w:pStyle w:val="Figure"/>
      </w:pPr>
      <w:r>
        <w:t xml:space="preserve">Figure 1: Dual-layer at </w:t>
      </w:r>
      <w:r w:rsidR="00583E33">
        <w:t xml:space="preserve">a </w:t>
      </w:r>
      <w:r>
        <w:t>low SNR</w:t>
      </w:r>
      <w:r w:rsidR="00583E33">
        <w:t xml:space="preserve"> range, using </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λ</m:t>
                </m:r>
              </m:e>
              <m:sub>
                <m:r>
                  <w:rPr>
                    <w:rFonts w:ascii="Cambria Math" w:hAnsi="Cambria Math"/>
                  </w:rPr>
                  <m:t>1</m:t>
                </m:r>
              </m:sub>
            </m:sSub>
          </m:e>
        </m:rad>
        <m:r>
          <w:rPr>
            <w:rFonts w:ascii="Cambria Math" w:hAnsi="Cambria Math"/>
          </w:rPr>
          <m:t>=</m:t>
        </m:r>
      </m:oMath>
      <w:r w:rsidR="00583E33">
        <w:t xml:space="preserve">9.1547 and </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λ</m:t>
                </m:r>
              </m:e>
              <m:sub>
                <m:r>
                  <w:rPr>
                    <w:rFonts w:ascii="Cambria Math" w:hAnsi="Cambria Math"/>
                  </w:rPr>
                  <m:t>2</m:t>
                </m:r>
              </m:sub>
            </m:sSub>
          </m:e>
        </m:rad>
        <m:r>
          <w:rPr>
            <w:rFonts w:ascii="Cambria Math" w:hAnsi="Cambria Math"/>
          </w:rPr>
          <m:t>=0.4369</m:t>
        </m:r>
      </m:oMath>
      <w:r w:rsidR="00583E33">
        <w:t xml:space="preserve"> as singular values of the channel.</w:t>
      </w:r>
      <w:r>
        <w:t xml:space="preserve"> </w:t>
      </w:r>
    </w:p>
    <w:p w14:paraId="09048E47" w14:textId="2A3EA05E" w:rsidR="00D91537" w:rsidRPr="00D91537" w:rsidRDefault="00874CF5" w:rsidP="00D91537">
      <w:pPr>
        <w:pStyle w:val="BodyText"/>
      </w:pPr>
      <w:r>
        <w:t>The result</w:t>
      </w:r>
      <w:r w:rsidR="00766BF5">
        <w:t xml:space="preserve"> shows that </w:t>
      </w:r>
      <w:r w:rsidR="00766BF5" w:rsidRPr="00766BF5">
        <w:t>at low SNR the channel capacity is limited by the strength of the strongest channel mode and the ability of the transmitter to beamform in that direction</w:t>
      </w:r>
      <w:r w:rsidR="00766BF5">
        <w:t xml:space="preserve">. </w:t>
      </w:r>
      <w:r w:rsidR="00D91537" w:rsidRPr="00D91537">
        <w:rPr>
          <w:rFonts w:cs="Arial"/>
          <w:lang w:val="en-US"/>
        </w:rPr>
        <w:t>Moreover, at low SNR(s), channel estimates are significantly worse, resulting in a higher uncertainty of the estimates for resolving the MIMO channel matrix (e.g., eigenvalues), which in turn decreases the decoding performance.</w:t>
      </w:r>
    </w:p>
    <w:p w14:paraId="51C9A31F" w14:textId="25773347" w:rsidR="007A152E" w:rsidRDefault="009B7765" w:rsidP="00DC47B3">
      <w:pPr>
        <w:pStyle w:val="Observation"/>
        <w:ind w:left="1701" w:hanging="1701"/>
      </w:pPr>
      <w:bookmarkStart w:id="4" w:name="_Toc525930268"/>
      <w:r w:rsidRPr="009B7765">
        <w:t>For large SNR, the capacity increases linearly with the rank of the MIMO channel matrix. That is, the rank provides an intuitive insight of the channel capacity</w:t>
      </w:r>
      <w:r>
        <w:t>.</w:t>
      </w:r>
      <w:bookmarkEnd w:id="4"/>
    </w:p>
    <w:p w14:paraId="680A32AC" w14:textId="77C9061F" w:rsidR="009B7765" w:rsidRDefault="009B7765" w:rsidP="00DC47B3">
      <w:pPr>
        <w:pStyle w:val="Observation"/>
        <w:ind w:left="1701" w:hanging="1701"/>
      </w:pPr>
      <w:bookmarkStart w:id="5" w:name="_Toc525930269"/>
      <w:r>
        <w:t xml:space="preserve">For low SNR, </w:t>
      </w:r>
      <w:r w:rsidR="00E33073">
        <w:t xml:space="preserve">the capacity of the MIMO channel approximately equals </w:t>
      </w:r>
      <w:r w:rsidR="00226554" w:rsidRPr="00226554">
        <w:t>either tha</w:t>
      </w:r>
      <w:r w:rsidR="00566927">
        <w:t>t of a SIMO channel (at best) or</w:t>
      </w:r>
      <w:r w:rsidR="00226554" w:rsidRPr="00226554">
        <w:t xml:space="preserve"> </w:t>
      </w:r>
      <w:r w:rsidR="00E33073">
        <w:t>that of a SISO channel</w:t>
      </w:r>
      <w:r>
        <w:t>.</w:t>
      </w:r>
      <w:r w:rsidR="00E33073">
        <w:t xml:space="preserve"> </w:t>
      </w:r>
      <w:r w:rsidR="00566927">
        <w:t>At low SNR</w:t>
      </w:r>
      <w:r w:rsidR="003E03B9">
        <w:t xml:space="preserve">, to maximize throughput, the </w:t>
      </w:r>
      <w:r w:rsidR="00E720AA">
        <w:t xml:space="preserve">entire </w:t>
      </w:r>
      <w:r w:rsidR="003E03B9">
        <w:t xml:space="preserve">power is supplied only to the </w:t>
      </w:r>
      <w:r w:rsidR="00E33073">
        <w:t>strongest eigenmode</w:t>
      </w:r>
      <w:r w:rsidR="00566927">
        <w:t>, which results in a single stream transmission</w:t>
      </w:r>
      <w:r w:rsidR="00E33073">
        <w:t>.</w:t>
      </w:r>
      <w:bookmarkEnd w:id="5"/>
    </w:p>
    <w:p w14:paraId="79372119" w14:textId="1CCEFE86" w:rsidR="00834CE8" w:rsidRDefault="00874CF5" w:rsidP="009B7765">
      <w:pPr>
        <w:pStyle w:val="Proposal"/>
      </w:pPr>
      <w:bookmarkStart w:id="6" w:name="_Toc525930275"/>
      <w:r>
        <w:t>Dual-</w:t>
      </w:r>
      <w:r w:rsidR="009B7765">
        <w:t xml:space="preserve">layer DL reception is not supported by </w:t>
      </w:r>
      <w:r w:rsidR="009B7765" w:rsidRPr="009B7765">
        <w:t xml:space="preserve">non-BL UEs using enhanced coverage functionality, since </w:t>
      </w:r>
      <w:r w:rsidR="006131B9">
        <w:t xml:space="preserve">using </w:t>
      </w:r>
      <w:r w:rsidR="00E856C9">
        <w:t xml:space="preserve">more than one layer is </w:t>
      </w:r>
      <w:r w:rsidR="009B7765" w:rsidRPr="009B7765">
        <w:t xml:space="preserve">only </w:t>
      </w:r>
      <w:r w:rsidR="00705DAC">
        <w:t>beneficial</w:t>
      </w:r>
      <w:r w:rsidR="00E856C9">
        <w:t xml:space="preserve"> and feasible</w:t>
      </w:r>
      <w:r w:rsidR="00705DAC">
        <w:t xml:space="preserve"> </w:t>
      </w:r>
      <w:r w:rsidR="009B7765" w:rsidRPr="009B7765">
        <w:t>for SNR</w:t>
      </w:r>
      <w:r w:rsidR="00705DAC">
        <w:t>s</w:t>
      </w:r>
      <w:r w:rsidR="009B7765" w:rsidRPr="009B7765">
        <w:t xml:space="preserve"> </w:t>
      </w:r>
      <w:r w:rsidR="00705DAC">
        <w:t xml:space="preserve">significantly higher </w:t>
      </w:r>
      <w:r w:rsidR="00E720AA">
        <w:t>(</w:t>
      </w:r>
      <w:r w:rsidR="003C3A0A">
        <w:t>&gt;&gt;</w:t>
      </w:r>
      <w:r w:rsidR="00E720AA">
        <w:t xml:space="preserve"> 1 = 0dB) </w:t>
      </w:r>
      <w:r w:rsidR="00705DAC">
        <w:t>than what is targeted by CE Mode A</w:t>
      </w:r>
      <w:r w:rsidR="00E856C9">
        <w:t xml:space="preserve"> (not to mention CE Mode B)</w:t>
      </w:r>
      <w:r w:rsidR="009B7765">
        <w:t>.</w:t>
      </w:r>
      <w:bookmarkEnd w:id="6"/>
    </w:p>
    <w:p w14:paraId="3327741A" w14:textId="0D411498" w:rsidR="007114A2" w:rsidRDefault="007114A2" w:rsidP="007114A2">
      <w:pPr>
        <w:pStyle w:val="Heading2"/>
      </w:pPr>
      <w:r>
        <w:lastRenderedPageBreak/>
        <w:t>2.2</w:t>
      </w:r>
      <w:r>
        <w:tab/>
        <w:t>Feedback based on CSI-RS</w:t>
      </w:r>
    </w:p>
    <w:p w14:paraId="5364B102" w14:textId="0B144DFE" w:rsidR="009A6ABD" w:rsidRPr="000A6AD4" w:rsidRDefault="009A6ABD" w:rsidP="0087083E">
      <w:pPr>
        <w:jc w:val="both"/>
        <w:rPr>
          <w:rFonts w:ascii="Arial" w:hAnsi="Arial" w:cs="Arial"/>
        </w:rPr>
      </w:pPr>
      <w:r w:rsidRPr="000A6AD4">
        <w:rPr>
          <w:rFonts w:ascii="Arial" w:hAnsi="Arial" w:cs="Arial"/>
        </w:rPr>
        <w:t>In Rel-10, up to 8 layers were made available for spatial multiplexing, which created a need for 8-layer channel estimation due that the Cell-specific RS (CRS) was originally designed for up to 4-layer sp</w:t>
      </w:r>
      <w:r w:rsidR="0087083E" w:rsidRPr="000A6AD4">
        <w:rPr>
          <w:rFonts w:ascii="Arial" w:hAnsi="Arial" w:cs="Arial"/>
        </w:rPr>
        <w:t>atial multiplexing. This was a</w:t>
      </w:r>
      <w:r w:rsidRPr="000A6AD4">
        <w:rPr>
          <w:rFonts w:ascii="Arial" w:hAnsi="Arial" w:cs="Arial"/>
        </w:rPr>
        <w:t xml:space="preserve"> reason </w:t>
      </w:r>
      <w:r w:rsidR="0087083E" w:rsidRPr="000A6AD4">
        <w:rPr>
          <w:rFonts w:ascii="Arial" w:hAnsi="Arial" w:cs="Arial"/>
        </w:rPr>
        <w:t xml:space="preserve">why </w:t>
      </w:r>
      <w:r w:rsidRPr="000A6AD4">
        <w:rPr>
          <w:rFonts w:ascii="Arial" w:hAnsi="Arial" w:cs="Arial"/>
        </w:rPr>
        <w:t>the Channel State Information Reference Signal (CSI-RS) was introduced, which is used to provide channel estimation for up to 8 layers (antenna ports). One important aspect to mention is that due to the sparse placement of CSI-RS (as to minimize the interference on UEs that perceive CSI-RS as interference), the CSI-RS-based CSI reports will be reported over longer time intervals than CRS-based CSI reports.</w:t>
      </w:r>
    </w:p>
    <w:p w14:paraId="24EBE7E1" w14:textId="0F4BBC7F" w:rsidR="00BF3B4E" w:rsidRDefault="000A6AD4" w:rsidP="00BF3B4E">
      <w:pPr>
        <w:jc w:val="both"/>
      </w:pPr>
      <w:r>
        <w:rPr>
          <w:rFonts w:ascii="Arial" w:hAnsi="Arial" w:cs="Arial"/>
        </w:rPr>
        <w:t xml:space="preserve">It is quite possible that CSI reporting based on CSI-RS can show similar benefits for a UE operating in coverage enhancement as when the feature was introduced to support TM9 in Rel-10. In particular, it can be expected to be useful for transmission based on beamforming, since improved channel estimation can be crucial for improving the selection of correct precoder at low SNR. By using (up to) eight CSI-RS ports it is possible to </w:t>
      </w:r>
      <w:r w:rsidR="00BF3B4E">
        <w:rPr>
          <w:rFonts w:ascii="Arial" w:hAnsi="Arial" w:cs="Arial"/>
        </w:rPr>
        <w:t>obtain</w:t>
      </w:r>
      <w:r>
        <w:rPr>
          <w:rFonts w:ascii="Arial" w:hAnsi="Arial" w:cs="Arial"/>
        </w:rPr>
        <w:t xml:space="preserve"> a more accurate </w:t>
      </w:r>
      <w:r w:rsidR="00BF3B4E">
        <w:rPr>
          <w:rFonts w:ascii="Arial" w:hAnsi="Arial" w:cs="Arial"/>
        </w:rPr>
        <w:t xml:space="preserve">estimation of the preferred </w:t>
      </w:r>
      <w:r>
        <w:rPr>
          <w:rFonts w:ascii="Arial" w:hAnsi="Arial" w:cs="Arial"/>
        </w:rPr>
        <w:t xml:space="preserve">precoder than using only CRS. </w:t>
      </w:r>
      <w:r w:rsidR="00BF3B4E">
        <w:rPr>
          <w:rFonts w:ascii="Arial" w:hAnsi="Arial" w:cs="Arial"/>
        </w:rPr>
        <w:t xml:space="preserve">However, it may also be challenging to achieve enough processing gain for such accurate estimation at the low SNR levels associated with operation in enhanced coverage. </w:t>
      </w:r>
      <w:r>
        <w:rPr>
          <w:rFonts w:ascii="Arial" w:hAnsi="Arial" w:cs="Arial"/>
        </w:rPr>
        <w:t>Whether or not there are any significant gains for at least some practical scenarios should be studied and shown by simulations.</w:t>
      </w:r>
    </w:p>
    <w:p w14:paraId="092B753D" w14:textId="5C7038D1" w:rsidR="00BF3B4E" w:rsidRDefault="00BF3B4E" w:rsidP="00BF3B4E">
      <w:pPr>
        <w:pStyle w:val="Proposal"/>
      </w:pPr>
      <w:bookmarkStart w:id="7" w:name="_Toc525930276"/>
      <w:r>
        <w:t xml:space="preserve">The </w:t>
      </w:r>
      <w:r w:rsidR="00DC47B3">
        <w:t xml:space="preserve">potential </w:t>
      </w:r>
      <w:r>
        <w:t>benefit</w:t>
      </w:r>
      <w:r w:rsidR="00DC47B3">
        <w:t>s</w:t>
      </w:r>
      <w:r>
        <w:t xml:space="preserve"> of using feedback </w:t>
      </w:r>
      <w:r>
        <w:rPr>
          <w:noProof/>
        </w:rPr>
        <w:t>based on CSI-RS for beamforming-based transmission at SNR levels associated with enhanced coverage shall be studied</w:t>
      </w:r>
      <w:r w:rsidR="00DC47B3">
        <w:rPr>
          <w:noProof/>
        </w:rPr>
        <w:t xml:space="preserve"> (e.g., in terms of improving the selection of the correct precoder)</w:t>
      </w:r>
      <w:r>
        <w:t>.</w:t>
      </w:r>
      <w:bookmarkEnd w:id="7"/>
    </w:p>
    <w:p w14:paraId="183D51A2" w14:textId="4475F55B" w:rsidR="0087083E" w:rsidRPr="009A6ABD" w:rsidRDefault="00AE1DDD" w:rsidP="0087083E">
      <w:pPr>
        <w:jc w:val="both"/>
      </w:pPr>
      <w:r>
        <w:rPr>
          <w:rFonts w:ascii="Arial" w:hAnsi="Arial" w:cs="Arial"/>
        </w:rPr>
        <w:t xml:space="preserve"> </w:t>
      </w:r>
    </w:p>
    <w:p w14:paraId="5300F849" w14:textId="77777777" w:rsidR="00C01F33" w:rsidRPr="00CE0424" w:rsidRDefault="00C01F33" w:rsidP="00CE0424">
      <w:pPr>
        <w:pStyle w:val="Heading1"/>
      </w:pPr>
      <w:r w:rsidRPr="00CE0424">
        <w:t>Conclusion</w:t>
      </w:r>
    </w:p>
    <w:p w14:paraId="58D5E936" w14:textId="77777777"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Pr="00CE0424">
        <w:t>:</w:t>
      </w:r>
    </w:p>
    <w:p w14:paraId="3CE8650E" w14:textId="77777777" w:rsidR="00921721" w:rsidRPr="00921721" w:rsidRDefault="00921721" w:rsidP="008E065E">
      <w:pPr>
        <w:pStyle w:val="BodyText"/>
        <w:rPr>
          <w:b/>
        </w:rPr>
      </w:pPr>
    </w:p>
    <w:p w14:paraId="7C87DE3A" w14:textId="0DE8D581" w:rsidR="00DC47B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930268" w:history="1">
        <w:r w:rsidR="00DC47B3" w:rsidRPr="00207A3D">
          <w:rPr>
            <w:rStyle w:val="Hyperlink"/>
            <w:noProof/>
          </w:rPr>
          <w:t>Observation 1</w:t>
        </w:r>
        <w:r w:rsidR="00DC47B3">
          <w:rPr>
            <w:rFonts w:asciiTheme="minorHAnsi" w:eastAsiaTheme="minorEastAsia" w:hAnsiTheme="minorHAnsi" w:cstheme="minorBidi"/>
            <w:b w:val="0"/>
            <w:noProof/>
            <w:sz w:val="22"/>
            <w:szCs w:val="22"/>
            <w:lang w:val="sv-SE" w:eastAsia="sv-SE"/>
          </w:rPr>
          <w:tab/>
        </w:r>
        <w:r w:rsidR="00DC47B3" w:rsidRPr="00207A3D">
          <w:rPr>
            <w:rStyle w:val="Hyperlink"/>
            <w:noProof/>
          </w:rPr>
          <w:t>For large SNR, the capacity increases linearly with the rank of the MIMO channel matrix. That is, the rank provides an intuitive insight of the channel capacity.</w:t>
        </w:r>
      </w:hyperlink>
    </w:p>
    <w:p w14:paraId="03655D7F" w14:textId="74AC2CE0" w:rsidR="00DC47B3" w:rsidRDefault="0023370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269" w:history="1">
        <w:r w:rsidR="00DC47B3" w:rsidRPr="00207A3D">
          <w:rPr>
            <w:rStyle w:val="Hyperlink"/>
            <w:noProof/>
          </w:rPr>
          <w:t>Observation 2</w:t>
        </w:r>
        <w:r w:rsidR="00DC47B3">
          <w:rPr>
            <w:rFonts w:asciiTheme="minorHAnsi" w:eastAsiaTheme="minorEastAsia" w:hAnsiTheme="minorHAnsi" w:cstheme="minorBidi"/>
            <w:b w:val="0"/>
            <w:noProof/>
            <w:sz w:val="22"/>
            <w:szCs w:val="22"/>
            <w:lang w:val="sv-SE" w:eastAsia="sv-SE"/>
          </w:rPr>
          <w:tab/>
        </w:r>
        <w:r w:rsidR="00DC47B3" w:rsidRPr="00207A3D">
          <w:rPr>
            <w:rStyle w:val="Hyperlink"/>
            <w:noProof/>
          </w:rPr>
          <w:t>For low SNR, the capacity of the MIMO channel approximately equals either that of a SIMO channel (at best) or that of a SISO channel. At low SNR, to maximize throughput, the entire power is supplied only to the strongest eigenmode, which results in a single stream transmission.</w:t>
        </w:r>
      </w:hyperlink>
    </w:p>
    <w:p w14:paraId="1717CEE3" w14:textId="24DE3AF0" w:rsidR="00901E6B" w:rsidRDefault="006F6582" w:rsidP="00901E6B">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396F1B" w14:textId="3D38A7E3" w:rsidR="00DC47B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30275" w:history="1">
        <w:r w:rsidR="00DC47B3" w:rsidRPr="00704E43">
          <w:rPr>
            <w:rStyle w:val="Hyperlink"/>
            <w:noProof/>
          </w:rPr>
          <w:t>Proposal 1</w:t>
        </w:r>
        <w:r w:rsidR="00DC47B3">
          <w:rPr>
            <w:rFonts w:asciiTheme="minorHAnsi" w:eastAsiaTheme="minorEastAsia" w:hAnsiTheme="minorHAnsi" w:cstheme="minorBidi"/>
            <w:b w:val="0"/>
            <w:noProof/>
            <w:sz w:val="22"/>
            <w:szCs w:val="22"/>
            <w:lang w:val="sv-SE" w:eastAsia="sv-SE"/>
          </w:rPr>
          <w:tab/>
        </w:r>
        <w:r w:rsidR="00DC47B3" w:rsidRPr="00704E43">
          <w:rPr>
            <w:rStyle w:val="Hyperlink"/>
            <w:noProof/>
          </w:rPr>
          <w:t>Dual-layer DL reception is not supported by non-BL UEs using enhanced coverage functionality, since using more than one layer is only beneficial and feasible for SNRs significantly higher (&gt;&gt; 1 = 0dB) than what is targeted by CE Mode A (not to mention CE Mode B).</w:t>
        </w:r>
      </w:hyperlink>
    </w:p>
    <w:p w14:paraId="5568265D" w14:textId="6FA8122F" w:rsidR="00DC47B3" w:rsidRDefault="0023370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276" w:history="1">
        <w:r w:rsidR="00DC47B3" w:rsidRPr="00704E43">
          <w:rPr>
            <w:rStyle w:val="Hyperlink"/>
            <w:noProof/>
          </w:rPr>
          <w:t>Proposal 2</w:t>
        </w:r>
        <w:r w:rsidR="00DC47B3">
          <w:rPr>
            <w:rFonts w:asciiTheme="minorHAnsi" w:eastAsiaTheme="minorEastAsia" w:hAnsiTheme="minorHAnsi" w:cstheme="minorBidi"/>
            <w:b w:val="0"/>
            <w:noProof/>
            <w:sz w:val="22"/>
            <w:szCs w:val="22"/>
            <w:lang w:val="sv-SE" w:eastAsia="sv-SE"/>
          </w:rPr>
          <w:tab/>
        </w:r>
        <w:r w:rsidR="00DC47B3" w:rsidRPr="00704E43">
          <w:rPr>
            <w:rStyle w:val="Hyperlink"/>
            <w:noProof/>
          </w:rPr>
          <w:t>The potential benefits of using feedback based on CSI-RS for beamforming-based transmission at SNR levels associated with enhanced coverage shall be studied (e.g., in terms of improving the selection of the correct precoder).</w:t>
        </w:r>
      </w:hyperlink>
    </w:p>
    <w:p w14:paraId="5A1EB9E8" w14:textId="292C800E"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8" w:name="_In-sequence_SDU_delivery"/>
      <w:bookmarkEnd w:id="8"/>
      <w:r w:rsidRPr="00CE0424">
        <w:t>References</w:t>
      </w:r>
    </w:p>
    <w:p w14:paraId="29133899" w14:textId="4324F276" w:rsidR="008D47D4" w:rsidRPr="00CE0424" w:rsidRDefault="008D47D4" w:rsidP="008D47D4">
      <w:pPr>
        <w:pStyle w:val="Reference"/>
        <w:numPr>
          <w:ilvl w:val="0"/>
          <w:numId w:val="32"/>
        </w:numPr>
      </w:pPr>
      <w:bookmarkStart w:id="9" w:name="_Ref525889416"/>
      <w:r>
        <w:t xml:space="preserve">RP-181878, “Additional MTC enhancements for LTE”, Ericsson, RAN #81, </w:t>
      </w:r>
      <w:r w:rsidRPr="008D47D4">
        <w:t>Gold Coast, Australia</w:t>
      </w:r>
      <w:r>
        <w:t>, Sept 10-13, 2018</w:t>
      </w:r>
      <w:bookmarkEnd w:id="9"/>
      <w:r>
        <w:t>.</w:t>
      </w:r>
    </w:p>
    <w:p w14:paraId="0034D3CC" w14:textId="2FDC17F7" w:rsidR="003A7EF3" w:rsidRDefault="00D97816" w:rsidP="008D47D4">
      <w:pPr>
        <w:pStyle w:val="Reference"/>
        <w:numPr>
          <w:ilvl w:val="0"/>
          <w:numId w:val="32"/>
        </w:numPr>
        <w:textAlignment w:val="auto"/>
      </w:pPr>
      <w:r>
        <w:t>“MIMO Wireless Communications”, Ezio Biglieri, et al, Cambridge University Press; 1 edition, January 2007.</w:t>
      </w:r>
    </w:p>
    <w:p w14:paraId="2122745A" w14:textId="59C789F2" w:rsidR="00D97816" w:rsidRDefault="00D97816" w:rsidP="00D97816">
      <w:pPr>
        <w:pStyle w:val="Reference"/>
        <w:numPr>
          <w:ilvl w:val="0"/>
          <w:numId w:val="32"/>
        </w:numPr>
        <w:textAlignment w:val="auto"/>
      </w:pPr>
      <w:r>
        <w:t>“Fundamentals of MIMO Wireless Communications”, Rakhesh Singh Kshetrimayum, Cambridge University Press, April 2017.</w:t>
      </w:r>
    </w:p>
    <w:p w14:paraId="5703EBBE" w14:textId="0DEB9D46" w:rsidR="00D97816" w:rsidRPr="00CE0424" w:rsidRDefault="00D97816" w:rsidP="00D97816">
      <w:pPr>
        <w:pStyle w:val="Reference"/>
        <w:numPr>
          <w:ilvl w:val="0"/>
          <w:numId w:val="32"/>
        </w:numPr>
        <w:textAlignment w:val="auto"/>
      </w:pPr>
      <w:r>
        <w:lastRenderedPageBreak/>
        <w:t>“MIMO Communication for Cellular Networks”, Av</w:t>
      </w:r>
      <w:r w:rsidR="00AE0DB2">
        <w:t>Howard Huang, et al, Springer, 2012.</w:t>
      </w:r>
    </w:p>
    <w:sectPr w:rsidR="00D97816"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61753" w14:textId="77777777" w:rsidR="00233704" w:rsidRDefault="00233704">
      <w:r>
        <w:separator/>
      </w:r>
    </w:p>
  </w:endnote>
  <w:endnote w:type="continuationSeparator" w:id="0">
    <w:p w14:paraId="6C0DADED" w14:textId="77777777" w:rsidR="00233704" w:rsidRDefault="0023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74CF5" w:rsidRDefault="00874C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F204A" w14:textId="77777777" w:rsidR="00233704" w:rsidRDefault="00233704">
      <w:r>
        <w:separator/>
      </w:r>
    </w:p>
  </w:footnote>
  <w:footnote w:type="continuationSeparator" w:id="0">
    <w:p w14:paraId="1A7D5D95" w14:textId="77777777" w:rsidR="00233704" w:rsidRDefault="00233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74CF5" w:rsidRDefault="00874C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ED3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1DCD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C12DF"/>
    <w:multiLevelType w:val="hybridMultilevel"/>
    <w:tmpl w:val="75C21DEE"/>
    <w:lvl w:ilvl="0" w:tplc="5BCAD274">
      <w:start w:val="1"/>
      <w:numFmt w:val="bullet"/>
      <w:lvlText w:val="-"/>
      <w:lvlJc w:val="left"/>
      <w:pPr>
        <w:ind w:left="1080" w:hanging="360"/>
      </w:pPr>
      <w:rPr>
        <w:rFonts w:ascii="Calibri" w:hAnsi="Calibri" w:hint="default"/>
        <w:color w:val="auto"/>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B477FA"/>
    <w:multiLevelType w:val="hybridMultilevel"/>
    <w:tmpl w:val="1638C7A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9E3849"/>
    <w:multiLevelType w:val="hybridMultilevel"/>
    <w:tmpl w:val="D2A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3802CD"/>
    <w:multiLevelType w:val="hybridMultilevel"/>
    <w:tmpl w:val="41EA066A"/>
    <w:lvl w:ilvl="0" w:tplc="5BCAD274">
      <w:start w:val="1"/>
      <w:numFmt w:val="bullet"/>
      <w:lvlText w:val="-"/>
      <w:lvlJc w:val="left"/>
      <w:pPr>
        <w:ind w:left="720" w:hanging="360"/>
      </w:pPr>
      <w:rPr>
        <w:rFonts w:ascii="Calibri" w:hAnsi="Calibr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1"/>
  </w:num>
  <w:num w:numId="6">
    <w:abstractNumId w:val="19"/>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3"/>
  </w:num>
  <w:num w:numId="15">
    <w:abstractNumId w:val="16"/>
  </w:num>
  <w:num w:numId="16">
    <w:abstractNumId w:val="25"/>
  </w:num>
  <w:num w:numId="17">
    <w:abstractNumId w:val="7"/>
  </w:num>
  <w:num w:numId="18">
    <w:abstractNumId w:val="9"/>
  </w:num>
  <w:num w:numId="19">
    <w:abstractNumId w:val="6"/>
  </w:num>
  <w:num w:numId="20">
    <w:abstractNumId w:val="30"/>
  </w:num>
  <w:num w:numId="21">
    <w:abstractNumId w:val="13"/>
  </w:num>
  <w:num w:numId="22">
    <w:abstractNumId w:val="27"/>
  </w:num>
  <w:num w:numId="23">
    <w:abstractNumId w:val="5"/>
  </w:num>
  <w:num w:numId="24">
    <w:abstractNumId w:val="17"/>
  </w:num>
  <w:num w:numId="25">
    <w:abstractNumId w:val="22"/>
  </w:num>
  <w:num w:numId="26">
    <w:abstractNumId w:val="18"/>
  </w:num>
  <w:num w:numId="27">
    <w:abstractNumId w:val="28"/>
  </w:num>
  <w:num w:numId="28">
    <w:abstractNumId w:val="26"/>
  </w:num>
  <w:num w:numId="29">
    <w:abstractNumId w:val="29"/>
  </w:num>
  <w:num w:numId="30">
    <w:abstractNumId w:val="4"/>
  </w:num>
  <w:num w:numId="31">
    <w:abstractNumId w:val="8"/>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1381"/>
    <w:rsid w:val="000325B8"/>
    <w:rsid w:val="00034C15"/>
    <w:rsid w:val="00036BA1"/>
    <w:rsid w:val="000422E2"/>
    <w:rsid w:val="00042F22"/>
    <w:rsid w:val="000444EF"/>
    <w:rsid w:val="00052A07"/>
    <w:rsid w:val="000534E3"/>
    <w:rsid w:val="0005606A"/>
    <w:rsid w:val="00057117"/>
    <w:rsid w:val="00057C29"/>
    <w:rsid w:val="000616E7"/>
    <w:rsid w:val="0006487E"/>
    <w:rsid w:val="00065E1A"/>
    <w:rsid w:val="00067F7D"/>
    <w:rsid w:val="00077E5F"/>
    <w:rsid w:val="0008036A"/>
    <w:rsid w:val="00081AE6"/>
    <w:rsid w:val="000855EB"/>
    <w:rsid w:val="00085B52"/>
    <w:rsid w:val="000866F2"/>
    <w:rsid w:val="0009009F"/>
    <w:rsid w:val="00091557"/>
    <w:rsid w:val="000924C1"/>
    <w:rsid w:val="000924F0"/>
    <w:rsid w:val="00092F85"/>
    <w:rsid w:val="00093474"/>
    <w:rsid w:val="0009366E"/>
    <w:rsid w:val="0009510F"/>
    <w:rsid w:val="0009733A"/>
    <w:rsid w:val="000A108E"/>
    <w:rsid w:val="000A1B7B"/>
    <w:rsid w:val="000A56F2"/>
    <w:rsid w:val="000A6AD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0AA"/>
    <w:rsid w:val="001219F5"/>
    <w:rsid w:val="00121A20"/>
    <w:rsid w:val="00121B71"/>
    <w:rsid w:val="0012377F"/>
    <w:rsid w:val="00124314"/>
    <w:rsid w:val="00126B4A"/>
    <w:rsid w:val="00132FD0"/>
    <w:rsid w:val="001344C0"/>
    <w:rsid w:val="001346FA"/>
    <w:rsid w:val="00135252"/>
    <w:rsid w:val="00137A28"/>
    <w:rsid w:val="00137AB5"/>
    <w:rsid w:val="00137F0B"/>
    <w:rsid w:val="00151E23"/>
    <w:rsid w:val="001526E0"/>
    <w:rsid w:val="001551B5"/>
    <w:rsid w:val="001659C1"/>
    <w:rsid w:val="00173A8E"/>
    <w:rsid w:val="0017502C"/>
    <w:rsid w:val="0018143F"/>
    <w:rsid w:val="00181FF8"/>
    <w:rsid w:val="00182568"/>
    <w:rsid w:val="001851D6"/>
    <w:rsid w:val="00190AC1"/>
    <w:rsid w:val="0019341A"/>
    <w:rsid w:val="00197DF9"/>
    <w:rsid w:val="001A1987"/>
    <w:rsid w:val="001A2564"/>
    <w:rsid w:val="001A6173"/>
    <w:rsid w:val="001A6CBA"/>
    <w:rsid w:val="001B0D97"/>
    <w:rsid w:val="001B5A5D"/>
    <w:rsid w:val="001C1CE5"/>
    <w:rsid w:val="001C3D2A"/>
    <w:rsid w:val="001C4151"/>
    <w:rsid w:val="001D51BA"/>
    <w:rsid w:val="001D53E7"/>
    <w:rsid w:val="001D6342"/>
    <w:rsid w:val="001D6D53"/>
    <w:rsid w:val="001E58E2"/>
    <w:rsid w:val="001E7AED"/>
    <w:rsid w:val="001F3916"/>
    <w:rsid w:val="001F54C5"/>
    <w:rsid w:val="001F6247"/>
    <w:rsid w:val="001F662C"/>
    <w:rsid w:val="001F7074"/>
    <w:rsid w:val="00200490"/>
    <w:rsid w:val="00201F3A"/>
    <w:rsid w:val="00203F96"/>
    <w:rsid w:val="002069B2"/>
    <w:rsid w:val="00207FA3"/>
    <w:rsid w:val="00211907"/>
    <w:rsid w:val="00214DA8"/>
    <w:rsid w:val="00215423"/>
    <w:rsid w:val="002158FA"/>
    <w:rsid w:val="00220600"/>
    <w:rsid w:val="00221D68"/>
    <w:rsid w:val="002224DB"/>
    <w:rsid w:val="00223BEF"/>
    <w:rsid w:val="00223FCB"/>
    <w:rsid w:val="002252C3"/>
    <w:rsid w:val="00225C54"/>
    <w:rsid w:val="00226554"/>
    <w:rsid w:val="00230765"/>
    <w:rsid w:val="00230CC4"/>
    <w:rsid w:val="00230D18"/>
    <w:rsid w:val="002319E4"/>
    <w:rsid w:val="00233704"/>
    <w:rsid w:val="00235632"/>
    <w:rsid w:val="00235872"/>
    <w:rsid w:val="00241559"/>
    <w:rsid w:val="002435B3"/>
    <w:rsid w:val="002458EB"/>
    <w:rsid w:val="00246E08"/>
    <w:rsid w:val="002500C8"/>
    <w:rsid w:val="0025705C"/>
    <w:rsid w:val="00257543"/>
    <w:rsid w:val="002577FB"/>
    <w:rsid w:val="002617E7"/>
    <w:rsid w:val="00264228"/>
    <w:rsid w:val="00264334"/>
    <w:rsid w:val="0026473E"/>
    <w:rsid w:val="00266214"/>
    <w:rsid w:val="00267C83"/>
    <w:rsid w:val="0027144F"/>
    <w:rsid w:val="00271813"/>
    <w:rsid w:val="00271F3A"/>
    <w:rsid w:val="0027302B"/>
    <w:rsid w:val="00273278"/>
    <w:rsid w:val="002737F4"/>
    <w:rsid w:val="002805F5"/>
    <w:rsid w:val="00280751"/>
    <w:rsid w:val="0028280A"/>
    <w:rsid w:val="00282EF7"/>
    <w:rsid w:val="00283A25"/>
    <w:rsid w:val="00286ACD"/>
    <w:rsid w:val="00287838"/>
    <w:rsid w:val="002907B5"/>
    <w:rsid w:val="00292EB7"/>
    <w:rsid w:val="00296227"/>
    <w:rsid w:val="00296F44"/>
    <w:rsid w:val="0029777D"/>
    <w:rsid w:val="002A055E"/>
    <w:rsid w:val="002A1452"/>
    <w:rsid w:val="002A1D4E"/>
    <w:rsid w:val="002A2869"/>
    <w:rsid w:val="002B24D6"/>
    <w:rsid w:val="002C41E6"/>
    <w:rsid w:val="002D071A"/>
    <w:rsid w:val="002D16C0"/>
    <w:rsid w:val="002D34B2"/>
    <w:rsid w:val="002D48B0"/>
    <w:rsid w:val="002D5B37"/>
    <w:rsid w:val="002D7637"/>
    <w:rsid w:val="002E17F2"/>
    <w:rsid w:val="002E6052"/>
    <w:rsid w:val="002E7CAE"/>
    <w:rsid w:val="002F2771"/>
    <w:rsid w:val="002F37A9"/>
    <w:rsid w:val="00301CE6"/>
    <w:rsid w:val="0030256B"/>
    <w:rsid w:val="0030501F"/>
    <w:rsid w:val="00305087"/>
    <w:rsid w:val="00307BA1"/>
    <w:rsid w:val="00311702"/>
    <w:rsid w:val="00311E82"/>
    <w:rsid w:val="0031218A"/>
    <w:rsid w:val="00313FD6"/>
    <w:rsid w:val="003143BD"/>
    <w:rsid w:val="00314A33"/>
    <w:rsid w:val="00315363"/>
    <w:rsid w:val="00316A6C"/>
    <w:rsid w:val="003203ED"/>
    <w:rsid w:val="00322C9F"/>
    <w:rsid w:val="00324D23"/>
    <w:rsid w:val="00331751"/>
    <w:rsid w:val="00334579"/>
    <w:rsid w:val="00335858"/>
    <w:rsid w:val="00336BDA"/>
    <w:rsid w:val="00342BD7"/>
    <w:rsid w:val="00346DB5"/>
    <w:rsid w:val="003477B1"/>
    <w:rsid w:val="00357380"/>
    <w:rsid w:val="003602D9"/>
    <w:rsid w:val="003604CE"/>
    <w:rsid w:val="00361C50"/>
    <w:rsid w:val="0036333D"/>
    <w:rsid w:val="00370E47"/>
    <w:rsid w:val="003742AC"/>
    <w:rsid w:val="00376D38"/>
    <w:rsid w:val="00377CE1"/>
    <w:rsid w:val="00385BF0"/>
    <w:rsid w:val="003939FF"/>
    <w:rsid w:val="003A2223"/>
    <w:rsid w:val="003A2A0F"/>
    <w:rsid w:val="003A45A1"/>
    <w:rsid w:val="003A5341"/>
    <w:rsid w:val="003A5B0A"/>
    <w:rsid w:val="003A6BAC"/>
    <w:rsid w:val="003A70A4"/>
    <w:rsid w:val="003A7EF3"/>
    <w:rsid w:val="003B0DDC"/>
    <w:rsid w:val="003B159C"/>
    <w:rsid w:val="003B369F"/>
    <w:rsid w:val="003B36A3"/>
    <w:rsid w:val="003B64BB"/>
    <w:rsid w:val="003B7FE5"/>
    <w:rsid w:val="003C11C8"/>
    <w:rsid w:val="003C2702"/>
    <w:rsid w:val="003C3542"/>
    <w:rsid w:val="003C3A0A"/>
    <w:rsid w:val="003C7806"/>
    <w:rsid w:val="003D109F"/>
    <w:rsid w:val="003D2478"/>
    <w:rsid w:val="003D3C45"/>
    <w:rsid w:val="003D5B1F"/>
    <w:rsid w:val="003D5C41"/>
    <w:rsid w:val="003E03B9"/>
    <w:rsid w:val="003E15FA"/>
    <w:rsid w:val="003E55E4"/>
    <w:rsid w:val="003E74E3"/>
    <w:rsid w:val="003F05C7"/>
    <w:rsid w:val="003F2CD4"/>
    <w:rsid w:val="003F6BBE"/>
    <w:rsid w:val="003F7A24"/>
    <w:rsid w:val="004000E8"/>
    <w:rsid w:val="00400B46"/>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FAF"/>
    <w:rsid w:val="004669E2"/>
    <w:rsid w:val="00470C31"/>
    <w:rsid w:val="00471DE0"/>
    <w:rsid w:val="004734D0"/>
    <w:rsid w:val="0047556B"/>
    <w:rsid w:val="00477768"/>
    <w:rsid w:val="00480415"/>
    <w:rsid w:val="00492BC5"/>
    <w:rsid w:val="004964F1"/>
    <w:rsid w:val="004A16BC"/>
    <w:rsid w:val="004A2B94"/>
    <w:rsid w:val="004B6F6A"/>
    <w:rsid w:val="004B7C0C"/>
    <w:rsid w:val="004C3898"/>
    <w:rsid w:val="004D36B1"/>
    <w:rsid w:val="004D6007"/>
    <w:rsid w:val="004D75CB"/>
    <w:rsid w:val="004D7EBD"/>
    <w:rsid w:val="004E065F"/>
    <w:rsid w:val="004E2680"/>
    <w:rsid w:val="004E28F9"/>
    <w:rsid w:val="004E462E"/>
    <w:rsid w:val="004E56DC"/>
    <w:rsid w:val="004E76F4"/>
    <w:rsid w:val="004F0B4E"/>
    <w:rsid w:val="004F0B6C"/>
    <w:rsid w:val="004F2078"/>
    <w:rsid w:val="004F46F5"/>
    <w:rsid w:val="004F4DA3"/>
    <w:rsid w:val="00501D63"/>
    <w:rsid w:val="00506557"/>
    <w:rsid w:val="0050677A"/>
    <w:rsid w:val="005108D8"/>
    <w:rsid w:val="005116F9"/>
    <w:rsid w:val="005153A7"/>
    <w:rsid w:val="005219CF"/>
    <w:rsid w:val="00534B59"/>
    <w:rsid w:val="00534BF3"/>
    <w:rsid w:val="00536759"/>
    <w:rsid w:val="00537C62"/>
    <w:rsid w:val="00546970"/>
    <w:rsid w:val="00553013"/>
    <w:rsid w:val="00554E19"/>
    <w:rsid w:val="0056121F"/>
    <w:rsid w:val="00566927"/>
    <w:rsid w:val="00571766"/>
    <w:rsid w:val="00572505"/>
    <w:rsid w:val="00582809"/>
    <w:rsid w:val="00583E33"/>
    <w:rsid w:val="00586CF6"/>
    <w:rsid w:val="0058798C"/>
    <w:rsid w:val="005900FA"/>
    <w:rsid w:val="005935A4"/>
    <w:rsid w:val="005948C2"/>
    <w:rsid w:val="00595DCA"/>
    <w:rsid w:val="00595EF1"/>
    <w:rsid w:val="0059779B"/>
    <w:rsid w:val="005A209A"/>
    <w:rsid w:val="005A662D"/>
    <w:rsid w:val="005B1409"/>
    <w:rsid w:val="005B35D7"/>
    <w:rsid w:val="005B392A"/>
    <w:rsid w:val="005B3AA3"/>
    <w:rsid w:val="005B6F83"/>
    <w:rsid w:val="005B7517"/>
    <w:rsid w:val="005C74FB"/>
    <w:rsid w:val="005D1602"/>
    <w:rsid w:val="005D1AEF"/>
    <w:rsid w:val="005D2172"/>
    <w:rsid w:val="005E385F"/>
    <w:rsid w:val="005E5B81"/>
    <w:rsid w:val="005F2CB1"/>
    <w:rsid w:val="005F3025"/>
    <w:rsid w:val="005F618C"/>
    <w:rsid w:val="005F70BD"/>
    <w:rsid w:val="0060283C"/>
    <w:rsid w:val="00602FA7"/>
    <w:rsid w:val="00602FE4"/>
    <w:rsid w:val="00604F14"/>
    <w:rsid w:val="0061007D"/>
    <w:rsid w:val="00611B83"/>
    <w:rsid w:val="006131B9"/>
    <w:rsid w:val="00613257"/>
    <w:rsid w:val="00620A71"/>
    <w:rsid w:val="00620D80"/>
    <w:rsid w:val="006234A6"/>
    <w:rsid w:val="00630001"/>
    <w:rsid w:val="00630F29"/>
    <w:rsid w:val="006311B3"/>
    <w:rsid w:val="0063284C"/>
    <w:rsid w:val="00636398"/>
    <w:rsid w:val="006368D3"/>
    <w:rsid w:val="006377EC"/>
    <w:rsid w:val="0064151F"/>
    <w:rsid w:val="00641533"/>
    <w:rsid w:val="0064208D"/>
    <w:rsid w:val="00643475"/>
    <w:rsid w:val="0064396A"/>
    <w:rsid w:val="0064624E"/>
    <w:rsid w:val="006502C4"/>
    <w:rsid w:val="00650AB9"/>
    <w:rsid w:val="0065430D"/>
    <w:rsid w:val="00655733"/>
    <w:rsid w:val="00655ACD"/>
    <w:rsid w:val="00656A92"/>
    <w:rsid w:val="00656DDE"/>
    <w:rsid w:val="0066011D"/>
    <w:rsid w:val="006607C0"/>
    <w:rsid w:val="006613A6"/>
    <w:rsid w:val="00661E84"/>
    <w:rsid w:val="006627A2"/>
    <w:rsid w:val="006634E6"/>
    <w:rsid w:val="006655EE"/>
    <w:rsid w:val="00667EE7"/>
    <w:rsid w:val="006700EF"/>
    <w:rsid w:val="00670922"/>
    <w:rsid w:val="00670BE1"/>
    <w:rsid w:val="0067218F"/>
    <w:rsid w:val="006741F2"/>
    <w:rsid w:val="00674CC3"/>
    <w:rsid w:val="00675C72"/>
    <w:rsid w:val="006771F9"/>
    <w:rsid w:val="006776D7"/>
    <w:rsid w:val="00681003"/>
    <w:rsid w:val="006817C9"/>
    <w:rsid w:val="00683ECE"/>
    <w:rsid w:val="00690B63"/>
    <w:rsid w:val="006912B6"/>
    <w:rsid w:val="0069408A"/>
    <w:rsid w:val="00695FC2"/>
    <w:rsid w:val="00696949"/>
    <w:rsid w:val="00697052"/>
    <w:rsid w:val="006A08C6"/>
    <w:rsid w:val="006A46FB"/>
    <w:rsid w:val="006A5E28"/>
    <w:rsid w:val="006A697B"/>
    <w:rsid w:val="006A7AFF"/>
    <w:rsid w:val="006B0E92"/>
    <w:rsid w:val="006B1816"/>
    <w:rsid w:val="006B2099"/>
    <w:rsid w:val="006B50CF"/>
    <w:rsid w:val="006C03B8"/>
    <w:rsid w:val="006C5EC9"/>
    <w:rsid w:val="006C6059"/>
    <w:rsid w:val="006C7522"/>
    <w:rsid w:val="006D17E0"/>
    <w:rsid w:val="006D335B"/>
    <w:rsid w:val="006D6F08"/>
    <w:rsid w:val="006E062C"/>
    <w:rsid w:val="006E1C82"/>
    <w:rsid w:val="006E28B7"/>
    <w:rsid w:val="006E2A9B"/>
    <w:rsid w:val="006E3310"/>
    <w:rsid w:val="006E4E39"/>
    <w:rsid w:val="006E565E"/>
    <w:rsid w:val="006E6010"/>
    <w:rsid w:val="006E673D"/>
    <w:rsid w:val="006E7D3B"/>
    <w:rsid w:val="006F1B70"/>
    <w:rsid w:val="006F341D"/>
    <w:rsid w:val="006F3CDE"/>
    <w:rsid w:val="006F57EF"/>
    <w:rsid w:val="006F58D4"/>
    <w:rsid w:val="006F6582"/>
    <w:rsid w:val="0070219D"/>
    <w:rsid w:val="0070346E"/>
    <w:rsid w:val="00704EDB"/>
    <w:rsid w:val="00705DAC"/>
    <w:rsid w:val="00706101"/>
    <w:rsid w:val="00707072"/>
    <w:rsid w:val="00707D61"/>
    <w:rsid w:val="007114A2"/>
    <w:rsid w:val="00712287"/>
    <w:rsid w:val="00712772"/>
    <w:rsid w:val="007148D3"/>
    <w:rsid w:val="00715B9A"/>
    <w:rsid w:val="007164F6"/>
    <w:rsid w:val="007257D0"/>
    <w:rsid w:val="00726EA6"/>
    <w:rsid w:val="00727208"/>
    <w:rsid w:val="00727680"/>
    <w:rsid w:val="00732879"/>
    <w:rsid w:val="007348B1"/>
    <w:rsid w:val="00735EAB"/>
    <w:rsid w:val="007362A6"/>
    <w:rsid w:val="00736D7D"/>
    <w:rsid w:val="00740E58"/>
    <w:rsid w:val="007445A0"/>
    <w:rsid w:val="0074524B"/>
    <w:rsid w:val="00747D8B"/>
    <w:rsid w:val="00751228"/>
    <w:rsid w:val="00756D38"/>
    <w:rsid w:val="007571E1"/>
    <w:rsid w:val="007604B2"/>
    <w:rsid w:val="00765281"/>
    <w:rsid w:val="00766BAD"/>
    <w:rsid w:val="00766BF5"/>
    <w:rsid w:val="00767FAA"/>
    <w:rsid w:val="00770C89"/>
    <w:rsid w:val="00772829"/>
    <w:rsid w:val="007729A2"/>
    <w:rsid w:val="007755F2"/>
    <w:rsid w:val="00776971"/>
    <w:rsid w:val="00780A80"/>
    <w:rsid w:val="0078177E"/>
    <w:rsid w:val="0078304C"/>
    <w:rsid w:val="00783673"/>
    <w:rsid w:val="00785490"/>
    <w:rsid w:val="007925EA"/>
    <w:rsid w:val="00793CD8"/>
    <w:rsid w:val="00795C92"/>
    <w:rsid w:val="00796231"/>
    <w:rsid w:val="007A152E"/>
    <w:rsid w:val="007A1CB3"/>
    <w:rsid w:val="007A306F"/>
    <w:rsid w:val="007A43A6"/>
    <w:rsid w:val="007A58A6"/>
    <w:rsid w:val="007B3D2D"/>
    <w:rsid w:val="007B50AE"/>
    <w:rsid w:val="007B51DF"/>
    <w:rsid w:val="007B6457"/>
    <w:rsid w:val="007C05DD"/>
    <w:rsid w:val="007C3D18"/>
    <w:rsid w:val="007C60BF"/>
    <w:rsid w:val="007C6A07"/>
    <w:rsid w:val="007C75A1"/>
    <w:rsid w:val="007C77A5"/>
    <w:rsid w:val="007D04E5"/>
    <w:rsid w:val="007D07BA"/>
    <w:rsid w:val="007D5901"/>
    <w:rsid w:val="007D7526"/>
    <w:rsid w:val="007E4610"/>
    <w:rsid w:val="007E4715"/>
    <w:rsid w:val="007E505B"/>
    <w:rsid w:val="007E7091"/>
    <w:rsid w:val="00803FAE"/>
    <w:rsid w:val="00805A16"/>
    <w:rsid w:val="0080605F"/>
    <w:rsid w:val="00807786"/>
    <w:rsid w:val="00811778"/>
    <w:rsid w:val="00811FCB"/>
    <w:rsid w:val="008158D6"/>
    <w:rsid w:val="00817196"/>
    <w:rsid w:val="00822EC0"/>
    <w:rsid w:val="008235DB"/>
    <w:rsid w:val="00824AB4"/>
    <w:rsid w:val="00825C42"/>
    <w:rsid w:val="00825D25"/>
    <w:rsid w:val="00827D6F"/>
    <w:rsid w:val="0083075F"/>
    <w:rsid w:val="00834CE8"/>
    <w:rsid w:val="00835F53"/>
    <w:rsid w:val="008376AC"/>
    <w:rsid w:val="008378D2"/>
    <w:rsid w:val="00843099"/>
    <w:rsid w:val="008444E8"/>
    <w:rsid w:val="00844E80"/>
    <w:rsid w:val="00846FE7"/>
    <w:rsid w:val="00856911"/>
    <w:rsid w:val="008677FD"/>
    <w:rsid w:val="008706D4"/>
    <w:rsid w:val="0087083E"/>
    <w:rsid w:val="00870F8A"/>
    <w:rsid w:val="008719A4"/>
    <w:rsid w:val="00871D23"/>
    <w:rsid w:val="00874312"/>
    <w:rsid w:val="0087437C"/>
    <w:rsid w:val="00874CF5"/>
    <w:rsid w:val="00875CD7"/>
    <w:rsid w:val="00876B4D"/>
    <w:rsid w:val="00877F18"/>
    <w:rsid w:val="00880AD1"/>
    <w:rsid w:val="00881E90"/>
    <w:rsid w:val="00890400"/>
    <w:rsid w:val="008941E3"/>
    <w:rsid w:val="00894A88"/>
    <w:rsid w:val="00895386"/>
    <w:rsid w:val="008A21FF"/>
    <w:rsid w:val="008A2CE2"/>
    <w:rsid w:val="008A30AC"/>
    <w:rsid w:val="008A44B8"/>
    <w:rsid w:val="008A51A8"/>
    <w:rsid w:val="008A54C7"/>
    <w:rsid w:val="008A77D8"/>
    <w:rsid w:val="008B0483"/>
    <w:rsid w:val="008B120C"/>
    <w:rsid w:val="008B16B7"/>
    <w:rsid w:val="008B252B"/>
    <w:rsid w:val="008B51A0"/>
    <w:rsid w:val="008B592A"/>
    <w:rsid w:val="008B7B5C"/>
    <w:rsid w:val="008C046E"/>
    <w:rsid w:val="008C0C99"/>
    <w:rsid w:val="008C2017"/>
    <w:rsid w:val="008C4958"/>
    <w:rsid w:val="008C4BAA"/>
    <w:rsid w:val="008C6AE8"/>
    <w:rsid w:val="008C7573"/>
    <w:rsid w:val="008D00A5"/>
    <w:rsid w:val="008D1B49"/>
    <w:rsid w:val="008D34F1"/>
    <w:rsid w:val="008D39D8"/>
    <w:rsid w:val="008D47D4"/>
    <w:rsid w:val="008D6D1A"/>
    <w:rsid w:val="008E065E"/>
    <w:rsid w:val="008E0927"/>
    <w:rsid w:val="008E1909"/>
    <w:rsid w:val="008F1C4E"/>
    <w:rsid w:val="008F1EAB"/>
    <w:rsid w:val="008F33DC"/>
    <w:rsid w:val="008F4340"/>
    <w:rsid w:val="008F477F"/>
    <w:rsid w:val="00901E6B"/>
    <w:rsid w:val="00902081"/>
    <w:rsid w:val="00902350"/>
    <w:rsid w:val="00902979"/>
    <w:rsid w:val="0090336B"/>
    <w:rsid w:val="009053AA"/>
    <w:rsid w:val="00906939"/>
    <w:rsid w:val="00910B7D"/>
    <w:rsid w:val="00911DFB"/>
    <w:rsid w:val="009139D9"/>
    <w:rsid w:val="00914AD8"/>
    <w:rsid w:val="00916079"/>
    <w:rsid w:val="00917CE9"/>
    <w:rsid w:val="00920BF2"/>
    <w:rsid w:val="00921721"/>
    <w:rsid w:val="00922010"/>
    <w:rsid w:val="00931BD9"/>
    <w:rsid w:val="009368F3"/>
    <w:rsid w:val="00940EE1"/>
    <w:rsid w:val="00941636"/>
    <w:rsid w:val="00943742"/>
    <w:rsid w:val="00945C05"/>
    <w:rsid w:val="00946945"/>
    <w:rsid w:val="00947713"/>
    <w:rsid w:val="00950DE7"/>
    <w:rsid w:val="00953920"/>
    <w:rsid w:val="00953D47"/>
    <w:rsid w:val="00953ED3"/>
    <w:rsid w:val="0095681E"/>
    <w:rsid w:val="009572D4"/>
    <w:rsid w:val="0096182A"/>
    <w:rsid w:val="00961921"/>
    <w:rsid w:val="0096430A"/>
    <w:rsid w:val="0096554B"/>
    <w:rsid w:val="0096584A"/>
    <w:rsid w:val="009704DA"/>
    <w:rsid w:val="00971F08"/>
    <w:rsid w:val="0097603D"/>
    <w:rsid w:val="00976949"/>
    <w:rsid w:val="00980477"/>
    <w:rsid w:val="0098459D"/>
    <w:rsid w:val="00985253"/>
    <w:rsid w:val="009853B3"/>
    <w:rsid w:val="00990630"/>
    <w:rsid w:val="00991761"/>
    <w:rsid w:val="00994DCA"/>
    <w:rsid w:val="009960EC"/>
    <w:rsid w:val="009970DD"/>
    <w:rsid w:val="009A0FBA"/>
    <w:rsid w:val="009A1172"/>
    <w:rsid w:val="009A1601"/>
    <w:rsid w:val="009A3BB6"/>
    <w:rsid w:val="009A462D"/>
    <w:rsid w:val="009A5CBA"/>
    <w:rsid w:val="009A6ABD"/>
    <w:rsid w:val="009B1D3F"/>
    <w:rsid w:val="009B1F30"/>
    <w:rsid w:val="009B3AC2"/>
    <w:rsid w:val="009B4DF4"/>
    <w:rsid w:val="009B564E"/>
    <w:rsid w:val="009B7765"/>
    <w:rsid w:val="009B7E87"/>
    <w:rsid w:val="009C0169"/>
    <w:rsid w:val="009C403E"/>
    <w:rsid w:val="009D4FF0"/>
    <w:rsid w:val="009D703C"/>
    <w:rsid w:val="009D718F"/>
    <w:rsid w:val="009E068F"/>
    <w:rsid w:val="009E14E0"/>
    <w:rsid w:val="009E35DB"/>
    <w:rsid w:val="009E47A3"/>
    <w:rsid w:val="009F08F3"/>
    <w:rsid w:val="009F344F"/>
    <w:rsid w:val="009F5331"/>
    <w:rsid w:val="00A031D8"/>
    <w:rsid w:val="00A041B3"/>
    <w:rsid w:val="00A048A8"/>
    <w:rsid w:val="00A04F49"/>
    <w:rsid w:val="00A12BB9"/>
    <w:rsid w:val="00A13E54"/>
    <w:rsid w:val="00A167D8"/>
    <w:rsid w:val="00A16C46"/>
    <w:rsid w:val="00A17F63"/>
    <w:rsid w:val="00A21606"/>
    <w:rsid w:val="00A2193B"/>
    <w:rsid w:val="00A2351A"/>
    <w:rsid w:val="00A264A9"/>
    <w:rsid w:val="00A26DCF"/>
    <w:rsid w:val="00A27785"/>
    <w:rsid w:val="00A30187"/>
    <w:rsid w:val="00A30A03"/>
    <w:rsid w:val="00A3448A"/>
    <w:rsid w:val="00A36297"/>
    <w:rsid w:val="00A368DB"/>
    <w:rsid w:val="00A41E2B"/>
    <w:rsid w:val="00A45B74"/>
    <w:rsid w:val="00A45DD8"/>
    <w:rsid w:val="00A52E1D"/>
    <w:rsid w:val="00A61499"/>
    <w:rsid w:val="00A619BA"/>
    <w:rsid w:val="00A62A77"/>
    <w:rsid w:val="00A63483"/>
    <w:rsid w:val="00A657D7"/>
    <w:rsid w:val="00A660AC"/>
    <w:rsid w:val="00A67E6C"/>
    <w:rsid w:val="00A704E3"/>
    <w:rsid w:val="00A71B99"/>
    <w:rsid w:val="00A739D0"/>
    <w:rsid w:val="00A761D4"/>
    <w:rsid w:val="00A77EC4"/>
    <w:rsid w:val="00A819FF"/>
    <w:rsid w:val="00A92879"/>
    <w:rsid w:val="00A9442A"/>
    <w:rsid w:val="00A9766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0DB2"/>
    <w:rsid w:val="00AE1DDD"/>
    <w:rsid w:val="00AE27AC"/>
    <w:rsid w:val="00AE3202"/>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0B4A"/>
    <w:rsid w:val="00B3359E"/>
    <w:rsid w:val="00B372AA"/>
    <w:rsid w:val="00B40445"/>
    <w:rsid w:val="00B409E0"/>
    <w:rsid w:val="00B41888"/>
    <w:rsid w:val="00B45A52"/>
    <w:rsid w:val="00B46175"/>
    <w:rsid w:val="00B519E3"/>
    <w:rsid w:val="00B548B7"/>
    <w:rsid w:val="00B64EAE"/>
    <w:rsid w:val="00B664C7"/>
    <w:rsid w:val="00B739F6"/>
    <w:rsid w:val="00B81A6C"/>
    <w:rsid w:val="00B8266A"/>
    <w:rsid w:val="00B85DE5"/>
    <w:rsid w:val="00B90F73"/>
    <w:rsid w:val="00B91A5A"/>
    <w:rsid w:val="00B93B59"/>
    <w:rsid w:val="00B9406A"/>
    <w:rsid w:val="00B9499D"/>
    <w:rsid w:val="00B97D32"/>
    <w:rsid w:val="00BA2280"/>
    <w:rsid w:val="00BA2A08"/>
    <w:rsid w:val="00BA56D2"/>
    <w:rsid w:val="00BA76E0"/>
    <w:rsid w:val="00BB1B01"/>
    <w:rsid w:val="00BB2A25"/>
    <w:rsid w:val="00BB51E9"/>
    <w:rsid w:val="00BB676F"/>
    <w:rsid w:val="00BC0FDC"/>
    <w:rsid w:val="00BC3053"/>
    <w:rsid w:val="00BC4D2E"/>
    <w:rsid w:val="00BC5DEC"/>
    <w:rsid w:val="00BD287B"/>
    <w:rsid w:val="00BD48AC"/>
    <w:rsid w:val="00BD5F1A"/>
    <w:rsid w:val="00BE1234"/>
    <w:rsid w:val="00BE2FA6"/>
    <w:rsid w:val="00BE333F"/>
    <w:rsid w:val="00BE7406"/>
    <w:rsid w:val="00BE7603"/>
    <w:rsid w:val="00BF3279"/>
    <w:rsid w:val="00BF3B4E"/>
    <w:rsid w:val="00BF3DE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4B1"/>
    <w:rsid w:val="00C36BB9"/>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1A4"/>
    <w:rsid w:val="00CB1F63"/>
    <w:rsid w:val="00CB7170"/>
    <w:rsid w:val="00CC040E"/>
    <w:rsid w:val="00CC111F"/>
    <w:rsid w:val="00CC2011"/>
    <w:rsid w:val="00CC30B8"/>
    <w:rsid w:val="00CC3EA0"/>
    <w:rsid w:val="00CC7B45"/>
    <w:rsid w:val="00CD1188"/>
    <w:rsid w:val="00CD2ED1"/>
    <w:rsid w:val="00CD337B"/>
    <w:rsid w:val="00CE0424"/>
    <w:rsid w:val="00CE0BF7"/>
    <w:rsid w:val="00CE7561"/>
    <w:rsid w:val="00CF1354"/>
    <w:rsid w:val="00CF2248"/>
    <w:rsid w:val="00CF3B1F"/>
    <w:rsid w:val="00CF3BF6"/>
    <w:rsid w:val="00CF625B"/>
    <w:rsid w:val="00CF687E"/>
    <w:rsid w:val="00D030F7"/>
    <w:rsid w:val="00D0349B"/>
    <w:rsid w:val="00D0467F"/>
    <w:rsid w:val="00D10249"/>
    <w:rsid w:val="00D115C3"/>
    <w:rsid w:val="00D11897"/>
    <w:rsid w:val="00D13135"/>
    <w:rsid w:val="00D13E4E"/>
    <w:rsid w:val="00D22263"/>
    <w:rsid w:val="00D239A7"/>
    <w:rsid w:val="00D23F47"/>
    <w:rsid w:val="00D25B5D"/>
    <w:rsid w:val="00D3112A"/>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537"/>
    <w:rsid w:val="00D9196D"/>
    <w:rsid w:val="00D92982"/>
    <w:rsid w:val="00D96A17"/>
    <w:rsid w:val="00D97816"/>
    <w:rsid w:val="00DA305E"/>
    <w:rsid w:val="00DA5417"/>
    <w:rsid w:val="00DA56E8"/>
    <w:rsid w:val="00DB0A9F"/>
    <w:rsid w:val="00DB377D"/>
    <w:rsid w:val="00DB560A"/>
    <w:rsid w:val="00DC2D36"/>
    <w:rsid w:val="00DC47B3"/>
    <w:rsid w:val="00DC53EF"/>
    <w:rsid w:val="00DE0AA4"/>
    <w:rsid w:val="00DE5608"/>
    <w:rsid w:val="00DE58D0"/>
    <w:rsid w:val="00DE654F"/>
    <w:rsid w:val="00DF0B6E"/>
    <w:rsid w:val="00DF15E0"/>
    <w:rsid w:val="00DF37A0"/>
    <w:rsid w:val="00E110E7"/>
    <w:rsid w:val="00E11B20"/>
    <w:rsid w:val="00E16627"/>
    <w:rsid w:val="00E17FA2"/>
    <w:rsid w:val="00E217BF"/>
    <w:rsid w:val="00E22330"/>
    <w:rsid w:val="00E30B5A"/>
    <w:rsid w:val="00E3123D"/>
    <w:rsid w:val="00E31461"/>
    <w:rsid w:val="00E31D43"/>
    <w:rsid w:val="00E32608"/>
    <w:rsid w:val="00E33073"/>
    <w:rsid w:val="00E34188"/>
    <w:rsid w:val="00E34B6E"/>
    <w:rsid w:val="00E35559"/>
    <w:rsid w:val="00E3723A"/>
    <w:rsid w:val="00E37860"/>
    <w:rsid w:val="00E44493"/>
    <w:rsid w:val="00E446F1"/>
    <w:rsid w:val="00E46886"/>
    <w:rsid w:val="00E47AEF"/>
    <w:rsid w:val="00E53B75"/>
    <w:rsid w:val="00E54E3B"/>
    <w:rsid w:val="00E57565"/>
    <w:rsid w:val="00E6180E"/>
    <w:rsid w:val="00E63838"/>
    <w:rsid w:val="00E64434"/>
    <w:rsid w:val="00E67C51"/>
    <w:rsid w:val="00E720AA"/>
    <w:rsid w:val="00E72EFC"/>
    <w:rsid w:val="00E758EC"/>
    <w:rsid w:val="00E8234C"/>
    <w:rsid w:val="00E83AA9"/>
    <w:rsid w:val="00E856C9"/>
    <w:rsid w:val="00E85928"/>
    <w:rsid w:val="00E87822"/>
    <w:rsid w:val="00E90395"/>
    <w:rsid w:val="00E90E49"/>
    <w:rsid w:val="00E917F9"/>
    <w:rsid w:val="00E9291C"/>
    <w:rsid w:val="00E93FFE"/>
    <w:rsid w:val="00E94F8A"/>
    <w:rsid w:val="00E96ABC"/>
    <w:rsid w:val="00EA6BD5"/>
    <w:rsid w:val="00EA7A41"/>
    <w:rsid w:val="00EB077B"/>
    <w:rsid w:val="00EB3BC9"/>
    <w:rsid w:val="00EB4A31"/>
    <w:rsid w:val="00EB4EA2"/>
    <w:rsid w:val="00EC0A9A"/>
    <w:rsid w:val="00EC24D5"/>
    <w:rsid w:val="00EC27C6"/>
    <w:rsid w:val="00EC4207"/>
    <w:rsid w:val="00EC5653"/>
    <w:rsid w:val="00EC71CE"/>
    <w:rsid w:val="00ED1006"/>
    <w:rsid w:val="00EE728D"/>
    <w:rsid w:val="00EE7D53"/>
    <w:rsid w:val="00EF09BF"/>
    <w:rsid w:val="00EF18FE"/>
    <w:rsid w:val="00EF44F1"/>
    <w:rsid w:val="00EF5787"/>
    <w:rsid w:val="00EF5A31"/>
    <w:rsid w:val="00EF60D0"/>
    <w:rsid w:val="00EF7B6A"/>
    <w:rsid w:val="00F048DE"/>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695"/>
    <w:rsid w:val="00F5060E"/>
    <w:rsid w:val="00F506AD"/>
    <w:rsid w:val="00F507D1"/>
    <w:rsid w:val="00F519CE"/>
    <w:rsid w:val="00F51ADA"/>
    <w:rsid w:val="00F51B19"/>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683"/>
    <w:rsid w:val="00F8456C"/>
    <w:rsid w:val="00F859D8"/>
    <w:rsid w:val="00F868F5"/>
    <w:rsid w:val="00F904AD"/>
    <w:rsid w:val="00F9056A"/>
    <w:rsid w:val="00F90F8D"/>
    <w:rsid w:val="00F92782"/>
    <w:rsid w:val="00F93AA9"/>
    <w:rsid w:val="00F949E0"/>
    <w:rsid w:val="00F96985"/>
    <w:rsid w:val="00F97838"/>
    <w:rsid w:val="00FA2BB3"/>
    <w:rsid w:val="00FA4CA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3331"/>
    <w:rsid w:val="00FF37D6"/>
    <w:rsid w:val="00FF3E6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PlaceholderText">
    <w:name w:val="Placeholder Text"/>
    <w:basedOn w:val="DefaultParagraphFont"/>
    <w:uiPriority w:val="99"/>
    <w:semiHidden/>
    <w:rsid w:val="00F506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27671-2862-411C-BFC7-ECF37CB7E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1076</TotalTime>
  <Pages>5</Pages>
  <Words>1523</Words>
  <Characters>8075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Gerardo Agni Medina Acosta</cp:lastModifiedBy>
  <cp:revision>82</cp:revision>
  <cp:lastPrinted>2008-01-31T07:09:00Z</cp:lastPrinted>
  <dcterms:created xsi:type="dcterms:W3CDTF">2018-09-05T12:13:00Z</dcterms:created>
  <dcterms:modified xsi:type="dcterms:W3CDTF">2018-09-28T18:37:00Z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